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9E" w:rsidRDefault="00932E9E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</w:p>
    <w:p w:rsidR="00932E9E" w:rsidRDefault="007B4485">
      <w:pPr>
        <w:pStyle w:val="BodyText"/>
        <w:kinsoku w:val="0"/>
        <w:overflowPunct w:val="0"/>
        <w:spacing w:line="200" w:lineRule="atLeast"/>
        <w:ind w:left="6836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rFonts w:ascii="Times New Roman" w:hAnsi="Times New Roman" w:cs="Times New Roman"/>
        </w:rPr>
        <w:drawing>
          <wp:inline distT="0" distB="0" distL="0" distR="0">
            <wp:extent cx="2560320" cy="1002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9E" w:rsidRDefault="00932E9E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</w:rPr>
      </w:pPr>
    </w:p>
    <w:p w:rsidR="00932E9E" w:rsidRPr="00C51E13" w:rsidRDefault="004371CB" w:rsidP="00EF52DB">
      <w:pPr>
        <w:pStyle w:val="Heading1"/>
        <w:kinsoku w:val="0"/>
        <w:overflowPunct w:val="0"/>
        <w:spacing w:before="61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Codice di condotta aziendale per i fornitori di Resideo</w:t>
      </w:r>
    </w:p>
    <w:p w:rsidR="00932E9E" w:rsidRDefault="00932E9E">
      <w:pPr>
        <w:pStyle w:val="BodyText"/>
        <w:kinsoku w:val="0"/>
        <w:overflowPunct w:val="0"/>
        <w:ind w:left="0"/>
        <w:rPr>
          <w:b/>
          <w:bCs/>
        </w:rPr>
      </w:pPr>
    </w:p>
    <w:p w:rsidR="00932E9E" w:rsidRDefault="004371CB">
      <w:pPr>
        <w:pStyle w:val="BodyText"/>
        <w:kinsoku w:val="0"/>
        <w:overflowPunct w:val="0"/>
        <w:ind w:right="394"/>
        <w:jc w:val="both"/>
        <w:rPr>
          <w:spacing w:val="-1"/>
        </w:rPr>
      </w:pPr>
      <w:r>
        <w:t>Resideo ha come priorità l'integrità e la conformità da dimostrare in ogni azione. Come parte di questo impegno, i Fornitori di Resideo sono tenuti a garantire di offrire ai propri dipendenti un ambiente lavorativo sicuro, trattarli con dignità e rispetto, intraprendere processi di produzione sostenibili ed ecocompatibili, nonché rispettare le normative in tutti i Paesi in cui svolgiamo affari. Ai Fornitori è richiesto di promuovere una cultura in cui dipendenti e responsabili possano comunicare apertamente e segnalare preoccupazioni senza il timore di ritorsioni, intimidazioni o vessazioni.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4371CB" w:rsidP="00F65DC7">
      <w:pPr>
        <w:pStyle w:val="BodyText"/>
        <w:kinsoku w:val="0"/>
        <w:overflowPunct w:val="0"/>
        <w:ind w:right="391"/>
        <w:jc w:val="both"/>
        <w:rPr>
          <w:spacing w:val="-1"/>
        </w:rPr>
      </w:pPr>
      <w:r>
        <w:t>Il Codice di condotta aziendale per i Fornitori di Resideo (il "Codice per i fornitori") definisce l'impegno di Resideo votato a integrità e conformità all'interno della catena di fornitura globale. Tutti i nostri Fornitori sono invitati ad aderire al Codice per i fornitori, nonché a garantire che tali requisiti siano soddisfatti nella rispettiva catena di fornitura. Resideo potrebbe visitare (e/o ricorrere a visite di controllo esterne) le strutture del fornitore, con o senza preavviso, per valutare la conformità al Codice per i fornitori. L'aderenza ai requisiti stabiliti nel Codice per i fornitori sarà tenuta in considerazione nel processo decisionale relativo all'approvvigionamento. Il mancato rispetto del Codice per i fornitori potrebbe avere come conseguenza la risoluzione contrattuale come fornitore di Resideo e possibili azioni legali.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BodyText"/>
        <w:kinsoku w:val="0"/>
        <w:overflowPunct w:val="0"/>
        <w:spacing w:before="2"/>
        <w:ind w:left="0"/>
      </w:pPr>
    </w:p>
    <w:p w:rsidR="00932E9E" w:rsidRDefault="00932E9E">
      <w:pPr>
        <w:pStyle w:val="Heading1"/>
        <w:numPr>
          <w:ilvl w:val="0"/>
          <w:numId w:val="6"/>
        </w:numPr>
        <w:tabs>
          <w:tab w:val="left" w:pos="839"/>
        </w:tabs>
        <w:kinsoku w:val="0"/>
        <w:overflowPunct w:val="0"/>
        <w:ind w:hanging="494"/>
        <w:rPr>
          <w:b w:val="0"/>
          <w:bCs w:val="0"/>
          <w:color w:val="000000"/>
        </w:rPr>
      </w:pPr>
      <w:r>
        <w:rPr>
          <w:color w:val="201E1F"/>
          <w:u w:val="single"/>
        </w:rPr>
        <w:t>Lavoro e diritti dell'uomo</w:t>
      </w:r>
    </w:p>
    <w:p w:rsidR="00932E9E" w:rsidRDefault="00932E9E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932E9E" w:rsidRDefault="00932E9E">
      <w:pPr>
        <w:pStyle w:val="BodyText"/>
        <w:numPr>
          <w:ilvl w:val="1"/>
          <w:numId w:val="6"/>
        </w:numPr>
        <w:tabs>
          <w:tab w:val="left" w:pos="839"/>
        </w:tabs>
        <w:kinsoku w:val="0"/>
        <w:overflowPunct w:val="0"/>
        <w:spacing w:before="61"/>
        <w:rPr>
          <w:color w:val="000000"/>
        </w:rPr>
      </w:pPr>
      <w:r>
        <w:rPr>
          <w:b/>
          <w:bCs/>
          <w:color w:val="201E1F"/>
        </w:rPr>
        <w:t>Trattamento equo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398"/>
        <w:jc w:val="both"/>
        <w:rPr>
          <w:color w:val="000000"/>
        </w:rPr>
      </w:pPr>
      <w:r>
        <w:rPr>
          <w:color w:val="201E1F"/>
        </w:rPr>
        <w:t>I Fornitori devono impegnarsi a promuovere un ambiente di lavoro privo di vessazioni e discriminazioni illegittime. Gli esempi di condotta che potrebbero essere considerati come forma di "vessazione" includono, a titolo esemplificativo, minacciare o sottoporre i dipendenti a trattamento duro o disumano, molestie sessuali, abuso sessuale, punizioni corporali, coercizione mentale, coercizione fisica, abuso verbale e limitazioni irragionevoli all'ingresso o all'uscita dalle strutture fornite dalla società.</w:t>
      </w:r>
    </w:p>
    <w:p w:rsidR="00932E9E" w:rsidRDefault="00932E9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932E9E" w:rsidRDefault="00932E9E">
      <w:pPr>
        <w:pStyle w:val="Heading1"/>
        <w:numPr>
          <w:ilvl w:val="1"/>
          <w:numId w:val="6"/>
        </w:numPr>
        <w:tabs>
          <w:tab w:val="left" w:pos="839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201E1F"/>
        </w:rPr>
        <w:t>Divieto di lavoro forzato o traffico umano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400"/>
        <w:jc w:val="both"/>
        <w:rPr>
          <w:color w:val="000000"/>
        </w:rPr>
      </w:pPr>
      <w:r>
        <w:rPr>
          <w:color w:val="201E1F"/>
        </w:rPr>
        <w:t>I Fornitori non devono svolgere attività di traffico di esseri umani o avvalersi di forme di lavoro in schiavitù, forzato, coatto, apprendistato o penitenziario non volontario. Il suddetto divieto include trasportare, ospitare, reclutare, trasferire o ricevere persone per mezzo di minaccia, forza, coercizione, sequestro, frode o pagamento a soggetti che hanno il controllo di altri soggetti per finalità di sfruttamento.</w:t>
      </w:r>
    </w:p>
    <w:p w:rsidR="00932E9E" w:rsidRDefault="00932E9E">
      <w:pPr>
        <w:pStyle w:val="BodyText"/>
        <w:kinsoku w:val="0"/>
        <w:overflowPunct w:val="0"/>
        <w:spacing w:before="1"/>
        <w:ind w:left="0"/>
      </w:pPr>
    </w:p>
    <w:p w:rsidR="00932E9E" w:rsidRDefault="00932E9E">
      <w:pPr>
        <w:pStyle w:val="BodyText"/>
        <w:kinsoku w:val="0"/>
        <w:overflowPunct w:val="0"/>
        <w:ind w:right="403"/>
        <w:jc w:val="both"/>
        <w:rPr>
          <w:spacing w:val="-1"/>
        </w:rPr>
      </w:pPr>
      <w:r>
        <w:t>Come parte del nostro impegno votato a proibire il traffico di esseri umani i Fornitori non possono intraprendere le seguenti condotte: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>
      <w:pPr>
        <w:pStyle w:val="BodyText"/>
        <w:numPr>
          <w:ilvl w:val="0"/>
          <w:numId w:val="5"/>
        </w:numPr>
        <w:tabs>
          <w:tab w:val="left" w:pos="839"/>
        </w:tabs>
        <w:kinsoku w:val="0"/>
        <w:overflowPunct w:val="0"/>
        <w:rPr>
          <w:spacing w:val="-1"/>
        </w:rPr>
      </w:pPr>
      <w:r>
        <w:t>distruzione, occultamento o confisca di documenti di identità o immigrazione;</w:t>
      </w:r>
    </w:p>
    <w:p w:rsidR="00932E9E" w:rsidRDefault="00932E9E">
      <w:pPr>
        <w:pStyle w:val="BodyText"/>
        <w:numPr>
          <w:ilvl w:val="0"/>
          <w:numId w:val="5"/>
        </w:numPr>
        <w:tabs>
          <w:tab w:val="left" w:pos="839"/>
        </w:tabs>
        <w:kinsoku w:val="0"/>
        <w:overflowPunct w:val="0"/>
        <w:rPr>
          <w:spacing w:val="-1"/>
        </w:rPr>
        <w:sectPr w:rsidR="00932E9E">
          <w:type w:val="continuous"/>
          <w:pgSz w:w="12240" w:h="15840"/>
          <w:pgMar w:top="180" w:right="480" w:bottom="280" w:left="760" w:header="720" w:footer="720" w:gutter="0"/>
          <w:cols w:space="720"/>
          <w:noEndnote/>
        </w:sectPr>
      </w:pPr>
    </w:p>
    <w:p w:rsidR="00932E9E" w:rsidRDefault="00932E9E">
      <w:pPr>
        <w:pStyle w:val="BodyText"/>
        <w:numPr>
          <w:ilvl w:val="0"/>
          <w:numId w:val="5"/>
        </w:numPr>
        <w:tabs>
          <w:tab w:val="left" w:pos="839"/>
        </w:tabs>
        <w:kinsoku w:val="0"/>
        <w:overflowPunct w:val="0"/>
        <w:spacing w:before="35"/>
      </w:pPr>
      <w:r>
        <w:t>avvalersi di tattiche di reclutamento fraudolente o</w:t>
      </w:r>
    </w:p>
    <w:p w:rsidR="00932E9E" w:rsidRDefault="00932E9E">
      <w:pPr>
        <w:pStyle w:val="BodyText"/>
        <w:numPr>
          <w:ilvl w:val="0"/>
          <w:numId w:val="5"/>
        </w:numPr>
        <w:tabs>
          <w:tab w:val="left" w:pos="839"/>
        </w:tabs>
        <w:kinsoku w:val="0"/>
        <w:overflowPunct w:val="0"/>
        <w:ind w:right="122"/>
        <w:rPr>
          <w:spacing w:val="-1"/>
        </w:rPr>
      </w:pPr>
      <w:r>
        <w:t>addebitare ai dipendenti irragionevoli tariffe di reclutamento o fornire condizioni abitative inadeguate in base a standard, normative e direttive locali.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Heading1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201E1F"/>
        </w:rPr>
        <w:t>Divieto di lavoro minorile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932E9E" w:rsidRDefault="00932E9E">
      <w:pPr>
        <w:pStyle w:val="BodyText"/>
        <w:kinsoku w:val="0"/>
        <w:overflowPunct w:val="0"/>
        <w:ind w:right="115"/>
        <w:jc w:val="both"/>
        <w:rPr>
          <w:color w:val="000000"/>
        </w:rPr>
      </w:pPr>
      <w:r>
        <w:rPr>
          <w:color w:val="201E1F"/>
        </w:rPr>
        <w:t>Il lavoro minorile è severamente proibito. I Fornitori non devono assumere minori. L'età minima per l'assunzione o il lavoro deve corrispondere a 16 anni, età minima per l'assunzione nel dato Paese o età per il completamento dell'istruzione obbligatoria nel Paese in questione. Si applica la condizione in cui l'età è maggiore. Il Codice per i fornitori non vieta la partecipazione a programmi legittimi di apprendistato sul luogo di lavoro.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>
      <w:pPr>
        <w:pStyle w:val="Heading1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201E1F"/>
        </w:rPr>
        <w:t>Retribuzioni e vantaggi</w:t>
      </w:r>
    </w:p>
    <w:p w:rsidR="00932E9E" w:rsidRDefault="00932E9E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21"/>
        <w:jc w:val="both"/>
        <w:rPr>
          <w:color w:val="000000"/>
        </w:rPr>
      </w:pPr>
      <w:r>
        <w:rPr>
          <w:color w:val="201E1F"/>
        </w:rPr>
        <w:t>I Fornitori sono tenuti a retribuire tutti i dipendenti ad almeno la tariffa minima richiesta da normative e regolamenti vigenti, nonché a fornire tutti i vantaggi legalmente obbligatori. Oltre a ciò, i dipendenti devono ricevere una retribuzione per le ore di straordinario alla tariffa richiesta da normative e regolamenti vigenti.</w:t>
      </w:r>
    </w:p>
    <w:p w:rsidR="00932E9E" w:rsidRDefault="00932E9E">
      <w:pPr>
        <w:pStyle w:val="BodyText"/>
        <w:kinsoku w:val="0"/>
        <w:overflowPunct w:val="0"/>
        <w:spacing w:before="1"/>
        <w:ind w:left="0"/>
      </w:pPr>
    </w:p>
    <w:p w:rsidR="00932E9E" w:rsidRDefault="00932E9E">
      <w:pPr>
        <w:pStyle w:val="Heading1"/>
        <w:numPr>
          <w:ilvl w:val="0"/>
          <w:numId w:val="4"/>
        </w:numPr>
        <w:tabs>
          <w:tab w:val="left" w:pos="839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201E1F"/>
        </w:rPr>
        <w:t>Conformità dei subappaltatori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932E9E" w:rsidRDefault="00932E9E">
      <w:pPr>
        <w:pStyle w:val="BodyText"/>
        <w:kinsoku w:val="0"/>
        <w:overflowPunct w:val="0"/>
        <w:jc w:val="both"/>
        <w:rPr>
          <w:spacing w:val="-1"/>
        </w:rPr>
      </w:pPr>
      <w:r>
        <w:t>I Fornitori acconsentono che eventuali dipendenti forniti dai subappaltatori affinché lavorino presso le strutture del fornitore</w:t>
      </w:r>
    </w:p>
    <w:p w:rsidR="00932E9E" w:rsidRDefault="00932E9E">
      <w:pPr>
        <w:pStyle w:val="BodyText"/>
        <w:kinsoku w:val="0"/>
        <w:overflowPunct w:val="0"/>
        <w:jc w:val="both"/>
      </w:pPr>
      <w:r>
        <w:t>siano trattati in modo coerente ai principi stabiliti nel presente Codice per i fornitori.</w:t>
      </w:r>
    </w:p>
    <w:p w:rsidR="00932E9E" w:rsidRDefault="00932E9E">
      <w:pPr>
        <w:pStyle w:val="BodyText"/>
        <w:kinsoku w:val="0"/>
        <w:overflowPunct w:val="0"/>
        <w:spacing w:before="2"/>
        <w:ind w:left="0"/>
      </w:pPr>
    </w:p>
    <w:p w:rsidR="00932E9E" w:rsidRPr="006D5475" w:rsidRDefault="00932E9E">
      <w:pPr>
        <w:pStyle w:val="Heading1"/>
        <w:numPr>
          <w:ilvl w:val="0"/>
          <w:numId w:val="3"/>
        </w:numPr>
        <w:tabs>
          <w:tab w:val="left" w:pos="839"/>
        </w:tabs>
        <w:kinsoku w:val="0"/>
        <w:overflowPunct w:val="0"/>
        <w:ind w:hanging="550"/>
        <w:rPr>
          <w:b w:val="0"/>
          <w:bCs w:val="0"/>
          <w:u w:val="single"/>
        </w:rPr>
      </w:pPr>
      <w:r>
        <w:rPr>
          <w:u w:val="single"/>
        </w:rPr>
        <w:t>Salute e sicurezza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932E9E" w:rsidRDefault="00932E9E">
      <w:pPr>
        <w:pStyle w:val="BodyText"/>
        <w:kinsoku w:val="0"/>
        <w:overflowPunct w:val="0"/>
        <w:ind w:right="119"/>
        <w:jc w:val="both"/>
        <w:rPr>
          <w:spacing w:val="-1"/>
        </w:rPr>
      </w:pPr>
      <w:r>
        <w:t>I Fornitori sono tenuti a conformarsi a ogni normativa e regolamento in materia di salute, sicurezza e ambiente. I programmi dei Fornitori relativi a salute e sicurezza devono trattare le seguenti questioni: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Heading1"/>
        <w:numPr>
          <w:ilvl w:val="1"/>
          <w:numId w:val="3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t>Sicurezza sul lavoro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t xml:space="preserve">I Fornitori sono tenuti a impegnarsi nei riguardi di sicurezza e salute dei propri dipendenti, nonché a garantire che la necessaria formazione del personale sia stata completata prima di iniziare eventuali attività lavorative. I Fornitori devono disporre o aderire a un programma in forma scritta su salute e sicurezza. I Fornitori sono responsabili di trattare e controllare l'esposizione dei dipendenti a potenziali rischi per la sicurezza, in conformità a tutti gli standard e/o i regolamenti vigenti, nonché mediante il ricorso a strumenti idonei, </w:t>
      </w:r>
      <w:r>
        <w:rPr>
          <w:i/>
          <w:iCs/>
        </w:rPr>
        <w:t xml:space="preserve">ad es., </w:t>
      </w:r>
      <w:r>
        <w:t>progettazione, controlli tecnici e amministrativi, manutenzione preventiva, formazione, procedure di lavoro e dispositivi di protezione individuale adeguati.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>
      <w:pPr>
        <w:pStyle w:val="Heading1"/>
        <w:numPr>
          <w:ilvl w:val="1"/>
          <w:numId w:val="3"/>
        </w:numPr>
        <w:tabs>
          <w:tab w:val="left" w:pos="897"/>
        </w:tabs>
        <w:kinsoku w:val="0"/>
        <w:overflowPunct w:val="0"/>
        <w:ind w:left="896" w:hanging="418"/>
        <w:rPr>
          <w:b w:val="0"/>
          <w:bCs w:val="0"/>
        </w:rPr>
      </w:pPr>
      <w:r>
        <w:t>Preparazione alle emergenze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10"/>
        <w:jc w:val="both"/>
      </w:pPr>
      <w:r>
        <w:t>I Fornitori sono tenuti a disporre di piani e procedure di risposta alle emergenze che attuino ogni normativa e regolamento in materia:   emergenza, preparazione, segnalazione e notifica;</w:t>
      </w:r>
    </w:p>
    <w:p w:rsidR="00932E9E" w:rsidRDefault="00932E9E">
      <w:pPr>
        <w:pStyle w:val="BodyText"/>
        <w:kinsoku w:val="0"/>
        <w:overflowPunct w:val="0"/>
        <w:ind w:right="110"/>
        <w:jc w:val="both"/>
        <w:sectPr w:rsidR="00932E9E">
          <w:pgSz w:w="12240" w:h="15840"/>
          <w:pgMar w:top="840" w:right="760" w:bottom="280" w:left="760" w:header="720" w:footer="720" w:gutter="0"/>
          <w:cols w:space="720" w:equalWidth="0">
            <w:col w:w="10720"/>
          </w:cols>
          <w:noEndnote/>
        </w:sectPr>
      </w:pPr>
    </w:p>
    <w:p w:rsidR="00932E9E" w:rsidRDefault="00932E9E">
      <w:pPr>
        <w:pStyle w:val="BodyText"/>
        <w:kinsoku w:val="0"/>
        <w:overflowPunct w:val="0"/>
        <w:spacing w:before="35"/>
        <w:jc w:val="both"/>
        <w:rPr>
          <w:spacing w:val="-1"/>
        </w:rPr>
      </w:pPr>
      <w:r>
        <w:t>procedure di evacuazione, addestramento ed esercitazioni; apparecchiature di rilevamento e soppressione dei rischi</w:t>
      </w:r>
    </w:p>
    <w:p w:rsidR="00932E9E" w:rsidRDefault="00932E9E">
      <w:pPr>
        <w:pStyle w:val="BodyText"/>
        <w:kinsoku w:val="0"/>
        <w:overflowPunct w:val="0"/>
        <w:jc w:val="both"/>
        <w:rPr>
          <w:spacing w:val="-1"/>
        </w:rPr>
      </w:pPr>
      <w:r>
        <w:t>appropriate e strutture di uscita adeguate dai siti del fornitore.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Heading1"/>
        <w:numPr>
          <w:ilvl w:val="1"/>
          <w:numId w:val="3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t>Infortuni sul lavoro e malattie professionali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14"/>
        <w:jc w:val="both"/>
      </w:pPr>
      <w:r>
        <w:t>I Fornitori devono disporre di procedure e sistemi per gestione, monitoraggio e segnalazione degli infortuni sul lavoro e delle malattie professionali, esposizione dei dipendenti ad agenti chimici, biologici e fisici. Tali procedure e sistemi devono attuare ogni normativa e regolamento vigente, incluse, ove del caso, disposizioni atte a (i) spronare i dipendenti alla segnalazione; (ii) classificare e registrare i casi di infortuni o malattia; (iii) indagare i casi e (iv) adottare azioni correttive.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>
      <w:pPr>
        <w:pStyle w:val="Heading1"/>
        <w:numPr>
          <w:ilvl w:val="1"/>
          <w:numId w:val="3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t>Infrastrutture igieniche, cibo e alloggi</w:t>
      </w:r>
    </w:p>
    <w:p w:rsidR="00932E9E" w:rsidRDefault="00932E9E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t>I Fornitori sono tenuti a offrire ai dipendenti servizi igienici puliti, accesso all'acqua potabile e, in caso, di strutture per la conservazione e la preparazione dei cibi a garantire che siano conformi alle norme igienico-sanitarie. I dormitori per i dipendenti messi a disposizione dal fornitore o da un'agenzia terza devono essere puliti e sicuri, nonché disporre di uscite di emergenza, riscaldamento e ventilazione adeguati, spazio personale, nonché privilegi di ingresso e uscita ragionevoli.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>
      <w:pPr>
        <w:pStyle w:val="Heading1"/>
        <w:numPr>
          <w:ilvl w:val="0"/>
          <w:numId w:val="3"/>
        </w:numPr>
        <w:tabs>
          <w:tab w:val="left" w:pos="839"/>
        </w:tabs>
        <w:kinsoku w:val="0"/>
        <w:overflowPunct w:val="0"/>
        <w:ind w:hanging="619"/>
        <w:rPr>
          <w:b w:val="0"/>
          <w:bCs w:val="0"/>
        </w:rPr>
      </w:pPr>
      <w:r>
        <w:rPr>
          <w:u w:val="single"/>
        </w:rPr>
        <w:t>Ambiente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b/>
          <w:bCs/>
          <w:sz w:val="18"/>
          <w:szCs w:val="18"/>
        </w:rPr>
      </w:pPr>
    </w:p>
    <w:p w:rsidR="00932E9E" w:rsidRDefault="00932E9E">
      <w:pPr>
        <w:pStyle w:val="BodyText"/>
        <w:kinsoku w:val="0"/>
        <w:overflowPunct w:val="0"/>
        <w:spacing w:before="61"/>
        <w:ind w:right="122"/>
        <w:rPr>
          <w:spacing w:val="-1"/>
        </w:rPr>
      </w:pPr>
      <w:r>
        <w:t>I Fornitori sono tenuti a conformarsi a ogni normativa e regolamento vigente in materia di salute, sicurezza e ambiente durante lo svolgimento di affari. A titolo esemplificativo, il fornitore deve: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>
      <w:pPr>
        <w:pStyle w:val="BodyText"/>
        <w:numPr>
          <w:ilvl w:val="0"/>
          <w:numId w:val="2"/>
        </w:numPr>
        <w:tabs>
          <w:tab w:val="left" w:pos="375"/>
        </w:tabs>
        <w:kinsoku w:val="0"/>
        <w:overflowPunct w:val="0"/>
        <w:ind w:firstLine="0"/>
        <w:rPr>
          <w:spacing w:val="-1"/>
        </w:rPr>
      </w:pPr>
      <w:r>
        <w:t>ottenere e tenere aggiornata ogni autorizzazione e registrazione ambientale richiesta;</w:t>
      </w:r>
    </w:p>
    <w:p w:rsidR="00932E9E" w:rsidRDefault="00932E9E">
      <w:pPr>
        <w:pStyle w:val="BodyText"/>
        <w:numPr>
          <w:ilvl w:val="0"/>
          <w:numId w:val="2"/>
        </w:numPr>
        <w:tabs>
          <w:tab w:val="left" w:pos="375"/>
        </w:tabs>
        <w:kinsoku w:val="0"/>
        <w:overflowPunct w:val="0"/>
        <w:ind w:left="374" w:hanging="256"/>
        <w:rPr>
          <w:spacing w:val="-1"/>
        </w:rPr>
      </w:pPr>
      <w:r>
        <w:t>ridurre, controllare e/o eliminare acque reflue, rifiuti e inquinamento alla fonte;</w:t>
      </w:r>
    </w:p>
    <w:p w:rsidR="00932E9E" w:rsidRDefault="00932E9E">
      <w:pPr>
        <w:pStyle w:val="BodyText"/>
        <w:numPr>
          <w:ilvl w:val="0"/>
          <w:numId w:val="2"/>
        </w:numPr>
        <w:tabs>
          <w:tab w:val="left" w:pos="378"/>
        </w:tabs>
        <w:kinsoku w:val="0"/>
        <w:overflowPunct w:val="0"/>
        <w:ind w:right="122" w:firstLine="0"/>
        <w:rPr>
          <w:spacing w:val="-1"/>
        </w:rPr>
      </w:pPr>
      <w:r>
        <w:t>ridurre, controllare e/o eliminare le emissioni atmosferiche di sostanze chimiche volatili, agenti corrosivi, particolati, aerosol e prodotti di combustione;</w:t>
      </w:r>
    </w:p>
    <w:p w:rsidR="00932E9E" w:rsidRDefault="00932E9E">
      <w:pPr>
        <w:pStyle w:val="BodyText"/>
        <w:numPr>
          <w:ilvl w:val="0"/>
          <w:numId w:val="2"/>
        </w:numPr>
        <w:tabs>
          <w:tab w:val="left" w:pos="375"/>
        </w:tabs>
        <w:kinsoku w:val="0"/>
        <w:overflowPunct w:val="0"/>
        <w:spacing w:line="287" w:lineRule="exact"/>
        <w:ind w:left="374" w:hanging="256"/>
        <w:rPr>
          <w:spacing w:val="-1"/>
        </w:rPr>
      </w:pPr>
      <w:r>
        <w:t>conformarsi ai requisiti di etichettatura e avvertenze in vigore e</w:t>
      </w:r>
    </w:p>
    <w:p w:rsidR="00932E9E" w:rsidRDefault="00932E9E">
      <w:pPr>
        <w:pStyle w:val="BodyText"/>
        <w:numPr>
          <w:ilvl w:val="0"/>
          <w:numId w:val="2"/>
        </w:numPr>
        <w:tabs>
          <w:tab w:val="left" w:pos="375"/>
        </w:tabs>
        <w:kinsoku w:val="0"/>
        <w:overflowPunct w:val="0"/>
        <w:spacing w:line="287" w:lineRule="exact"/>
        <w:ind w:left="374" w:hanging="256"/>
        <w:rPr>
          <w:spacing w:val="-1"/>
        </w:rPr>
      </w:pPr>
      <w:r>
        <w:t>identificare, gestire, conservare, spostare e manipolare le sostanze pericolose in conformità alla normativa.</w:t>
      </w:r>
    </w:p>
    <w:p w:rsidR="00932E9E" w:rsidRDefault="00932E9E">
      <w:pPr>
        <w:pStyle w:val="BodyText"/>
        <w:kinsoku w:val="0"/>
        <w:overflowPunct w:val="0"/>
        <w:spacing w:before="1"/>
        <w:ind w:left="0"/>
      </w:pPr>
    </w:p>
    <w:p w:rsidR="00932E9E" w:rsidRDefault="00932E9E">
      <w:pPr>
        <w:pStyle w:val="Heading1"/>
        <w:numPr>
          <w:ilvl w:val="0"/>
          <w:numId w:val="3"/>
        </w:numPr>
        <w:tabs>
          <w:tab w:val="left" w:pos="839"/>
        </w:tabs>
        <w:kinsoku w:val="0"/>
        <w:overflowPunct w:val="0"/>
        <w:ind w:hanging="624"/>
        <w:rPr>
          <w:b w:val="0"/>
          <w:bCs w:val="0"/>
          <w:color w:val="000000"/>
        </w:rPr>
      </w:pPr>
      <w:r>
        <w:rPr>
          <w:color w:val="201E1F"/>
          <w:u w:val="single"/>
        </w:rPr>
        <w:t>Integrità e conformità</w:t>
      </w:r>
    </w:p>
    <w:p w:rsidR="00932E9E" w:rsidRDefault="00932E9E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932E9E" w:rsidRDefault="00932E9E" w:rsidP="006D5475">
      <w:pPr>
        <w:pStyle w:val="BodyText"/>
        <w:numPr>
          <w:ilvl w:val="1"/>
          <w:numId w:val="3"/>
        </w:numPr>
        <w:tabs>
          <w:tab w:val="left" w:pos="839"/>
        </w:tabs>
        <w:kinsoku w:val="0"/>
        <w:overflowPunct w:val="0"/>
        <w:spacing w:before="61"/>
        <w:rPr>
          <w:color w:val="000000"/>
        </w:rPr>
      </w:pPr>
      <w:r>
        <w:rPr>
          <w:b/>
          <w:bCs/>
          <w:color w:val="201E1F"/>
        </w:rPr>
        <w:t>Registri e documentazione</w:t>
      </w:r>
    </w:p>
    <w:p w:rsidR="00080DC9" w:rsidRDefault="00080DC9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932E9E" w:rsidRDefault="00932E9E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  <w:r>
        <w:t>I Fornitori sono invitati a creare e mantenere registri e documentazione in modo accurato e a non alterare eventuali voci della documentazione per occultare o distorcere l'operazione sottostante in esse rappresentata. Tutta la documentazione, indipendentemente dal formato, redatta o ricevuta come prova di un'operazione commerciale deve rappresentare in modo completo e accurato l'operazione o l'evento oggetto di registrazione. Quando un documento non è più necessario per lo svolgimento degli affari correnti, tutta la documentazione deve continuare a essere mantenuta in base ai requisiti di conservazione vigenti.</w:t>
      </w:r>
    </w:p>
    <w:p w:rsidR="00080DC9" w:rsidRDefault="00080DC9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080DC9" w:rsidRDefault="00080DC9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DB31A8" w:rsidRDefault="00DB31A8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080DC9" w:rsidRDefault="00080DC9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080DC9" w:rsidRDefault="00080DC9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440B8E" w:rsidRDefault="00440B8E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080DC9" w:rsidRDefault="00080DC9">
      <w:pPr>
        <w:pStyle w:val="BodyText"/>
        <w:kinsoku w:val="0"/>
        <w:overflowPunct w:val="0"/>
        <w:spacing w:before="1"/>
        <w:ind w:right="115"/>
        <w:jc w:val="both"/>
        <w:rPr>
          <w:spacing w:val="-1"/>
        </w:rPr>
      </w:pPr>
    </w:p>
    <w:p w:rsidR="006D5475" w:rsidRDefault="006D5475" w:rsidP="006D5475">
      <w:pPr>
        <w:pStyle w:val="Heading1"/>
        <w:tabs>
          <w:tab w:val="left" w:pos="385"/>
        </w:tabs>
        <w:kinsoku w:val="0"/>
        <w:overflowPunct w:val="0"/>
        <w:ind w:left="0" w:firstLine="0"/>
        <w:jc w:val="both"/>
        <w:rPr>
          <w:b w:val="0"/>
          <w:bCs w:val="0"/>
          <w:spacing w:val="-1"/>
        </w:rPr>
      </w:pPr>
    </w:p>
    <w:p w:rsidR="00932E9E" w:rsidRDefault="00932E9E" w:rsidP="006D5475">
      <w:pPr>
        <w:pStyle w:val="Heading1"/>
        <w:numPr>
          <w:ilvl w:val="1"/>
          <w:numId w:val="3"/>
        </w:numPr>
        <w:tabs>
          <w:tab w:val="left" w:pos="385"/>
        </w:tabs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201E1F"/>
        </w:rPr>
        <w:t>Integrità commerciale</w:t>
      </w:r>
    </w:p>
    <w:p w:rsidR="00080DC9" w:rsidRDefault="00080DC9">
      <w:pPr>
        <w:pStyle w:val="BodyText"/>
        <w:kinsoku w:val="0"/>
        <w:overflowPunct w:val="0"/>
        <w:spacing w:before="35"/>
        <w:ind w:right="116"/>
        <w:jc w:val="both"/>
        <w:rPr>
          <w:spacing w:val="-1"/>
        </w:rPr>
      </w:pPr>
    </w:p>
    <w:p w:rsidR="00932E9E" w:rsidRDefault="00932E9E">
      <w:pPr>
        <w:pStyle w:val="BodyText"/>
        <w:kinsoku w:val="0"/>
        <w:overflowPunct w:val="0"/>
        <w:spacing w:before="35"/>
        <w:ind w:right="116"/>
        <w:jc w:val="both"/>
      </w:pPr>
      <w:r>
        <w:t>I Fornitori sono tenuti a conformarsi a ogni normativa e regolamento delle giurisdizioni applicabili, incluse tutte le normative anticorruzione vigenti. I Fornitori non possono incoraggiare, offrire o ricevere forme di corruzione commerciale o tangenti illegittime. Inoltre, devono prestare attenzione a evitare persino di dare l'impressione di tale condotta inappropriata. I Fornitori condurranno le relative attività senza intraprendere pratiche di corruzione e non si avvantaggeranno di alcun soggetto mediante pratiche commerciali sleali. Ciò significa che i Fornitori non devono distorcere le informazioni relative a qualità, caratteristiche o disponibilità dei propri prodotti o servizi. In aggiunta, i Fornitori acconsentono a seguire i principi di integrità, trasparenza e accuratezza nel mantenimento della documentazione aziendale.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 w:rsidP="006D5475">
      <w:pPr>
        <w:pStyle w:val="Heading1"/>
        <w:numPr>
          <w:ilvl w:val="1"/>
          <w:numId w:val="3"/>
        </w:numPr>
        <w:tabs>
          <w:tab w:val="left" w:pos="385"/>
        </w:tabs>
        <w:kinsoku w:val="0"/>
        <w:overflowPunct w:val="0"/>
        <w:jc w:val="both"/>
        <w:rPr>
          <w:b w:val="0"/>
          <w:bCs w:val="0"/>
          <w:color w:val="000000"/>
        </w:rPr>
      </w:pPr>
      <w:r>
        <w:rPr>
          <w:color w:val="201E1F"/>
        </w:rPr>
        <w:t>Tutela della proprietà intellettuale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21"/>
        <w:jc w:val="both"/>
        <w:rPr>
          <w:color w:val="000000"/>
        </w:rPr>
      </w:pPr>
      <w:r>
        <w:rPr>
          <w:color w:val="201E1F"/>
        </w:rPr>
        <w:t>I Fornitori devono rispettare i diritti di proprietà intellettuale e tutelare le informazioni proprietarie. Il trasferimento di tecnologia e know-how deve avvenire in modo da tutelare i diritti di proprietà intellettuale.</w:t>
      </w:r>
    </w:p>
    <w:p w:rsidR="00932E9E" w:rsidRDefault="00932E9E">
      <w:pPr>
        <w:pStyle w:val="BodyText"/>
        <w:kinsoku w:val="0"/>
        <w:overflowPunct w:val="0"/>
        <w:spacing w:before="2"/>
        <w:ind w:left="0"/>
      </w:pPr>
    </w:p>
    <w:p w:rsidR="00932E9E" w:rsidRDefault="00932E9E" w:rsidP="006D5475">
      <w:pPr>
        <w:pStyle w:val="Heading1"/>
        <w:numPr>
          <w:ilvl w:val="1"/>
          <w:numId w:val="3"/>
        </w:numPr>
        <w:tabs>
          <w:tab w:val="left" w:pos="385"/>
        </w:tabs>
        <w:kinsoku w:val="0"/>
        <w:overflowPunct w:val="0"/>
        <w:jc w:val="both"/>
        <w:rPr>
          <w:b w:val="0"/>
          <w:bCs w:val="0"/>
        </w:rPr>
      </w:pPr>
      <w:r>
        <w:t>Abuso di sostanze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15"/>
        <w:jc w:val="both"/>
        <w:rPr>
          <w:color w:val="000000"/>
        </w:rPr>
      </w:pPr>
      <w:r>
        <w:rPr>
          <w:color w:val="201E1F"/>
        </w:rPr>
        <w:t>I Fornitori devono disporre di politiche e procedure atte a garantire che i dipendenti non svolgano il lavoro sotto l'influenza di alcool, droghe illegali o abuso di medicinali, su prescrizione o meno. In aggiunta, i Fornitori porranno in essere politiche e procedure che vietano ai dipendenti di utilizzare, detenere, trasferire o vendere droghe illegali o alcool o abusare di medicinali (su prescrizione o meno) sul luogo di lavoro o durante lo svolgimento del lavoro.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 w:rsidP="006D5475">
      <w:pPr>
        <w:pStyle w:val="Heading1"/>
        <w:numPr>
          <w:ilvl w:val="1"/>
          <w:numId w:val="3"/>
        </w:numPr>
        <w:tabs>
          <w:tab w:val="left" w:pos="385"/>
        </w:tabs>
        <w:kinsoku w:val="0"/>
        <w:overflowPunct w:val="0"/>
        <w:jc w:val="both"/>
        <w:rPr>
          <w:b w:val="0"/>
          <w:bCs w:val="0"/>
        </w:rPr>
      </w:pPr>
      <w:r>
        <w:t>Approvvigionamento responsabile di minerali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 w:rsidP="00080DC9">
      <w:pPr>
        <w:pStyle w:val="BodyText"/>
        <w:kinsoku w:val="0"/>
        <w:overflowPunct w:val="0"/>
        <w:ind w:right="121"/>
        <w:jc w:val="both"/>
        <w:rPr>
          <w:spacing w:val="-1"/>
        </w:rPr>
      </w:pPr>
      <w:r>
        <w:t>I Fornitori devono disporre di una politica che assicuri in modo ragionevole che tantalio, stagno, tungsteno e oro presenti nei prodotti realizzati non costituiscono una forma di finanziamento o favoreggiamento, diretto o indiretto, di gruppi armati autori di gravi violazioni dei diritti dell'uomo nella Repubblica democratica del Congo o in un Paese limitrofo. I Fornitori sono tenuti a esercitare la dovuta diligenza relativamente a fonte e catena di custodia dei suddetti minerali, nonché a mettere a disposizione, su richiesta, le misure di dovuta diligenza.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 w:rsidP="006D5475">
      <w:pPr>
        <w:pStyle w:val="Heading1"/>
        <w:numPr>
          <w:ilvl w:val="1"/>
          <w:numId w:val="3"/>
        </w:numPr>
        <w:tabs>
          <w:tab w:val="left" w:pos="385"/>
        </w:tabs>
        <w:kinsoku w:val="0"/>
        <w:overflowPunct w:val="0"/>
        <w:jc w:val="both"/>
        <w:rPr>
          <w:b w:val="0"/>
          <w:bCs w:val="0"/>
        </w:rPr>
      </w:pPr>
      <w:r>
        <w:t>Qualità</w:t>
      </w:r>
    </w:p>
    <w:p w:rsidR="00932E9E" w:rsidRDefault="00932E9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932E9E" w:rsidRDefault="00932E9E">
      <w:pPr>
        <w:pStyle w:val="BodyText"/>
        <w:kinsoku w:val="0"/>
        <w:overflowPunct w:val="0"/>
        <w:ind w:right="112"/>
        <w:jc w:val="both"/>
        <w:rPr>
          <w:spacing w:val="-1"/>
        </w:rPr>
      </w:pPr>
      <w:r>
        <w:t>I Fornitori devono prestare la dovuta attenzione a garantire che il prodotto della lavorazione soddisfi gli standard di qualità vigenti. I Fornitori devono mettere in atto processi di garanzia della qualità per l'identificazione dei difetti, l'attuazione di azioni correttive e l'agevolazione della consegna di un prodotto la cui qualità soddisfa o supera i requisiti contrattuali.</w:t>
      </w:r>
    </w:p>
    <w:p w:rsidR="00932E9E" w:rsidRDefault="00932E9E">
      <w:pPr>
        <w:pStyle w:val="BodyText"/>
        <w:kinsoku w:val="0"/>
        <w:overflowPunct w:val="0"/>
        <w:ind w:right="122"/>
        <w:jc w:val="both"/>
        <w:rPr>
          <w:spacing w:val="-1"/>
        </w:rPr>
      </w:pPr>
      <w:r>
        <w:t>I Fornitori devono sviluppare, adottare e preservare metodi e processi adeguati ai propri prodotti per ridurre al minimo il rischio di introdurre parti e materiali contraffatti nei prodotti fornibili. Dovrebbero essere posti in essere processi efficaci a individuare parti e materiali contraffatti, fornire comunicazione ai destinatari di uno o più prodotti contraffatti, quando garantiti, ed escluderli dal prodotto consegnato.</w:t>
      </w:r>
    </w:p>
    <w:p w:rsidR="00932E9E" w:rsidRDefault="00932E9E">
      <w:pPr>
        <w:pStyle w:val="BodyText"/>
        <w:kinsoku w:val="0"/>
        <w:overflowPunct w:val="0"/>
        <w:spacing w:before="2"/>
        <w:ind w:left="0"/>
      </w:pPr>
    </w:p>
    <w:p w:rsidR="00932E9E" w:rsidRDefault="00932E9E" w:rsidP="006D5475">
      <w:pPr>
        <w:pStyle w:val="Heading1"/>
        <w:numPr>
          <w:ilvl w:val="1"/>
          <w:numId w:val="3"/>
        </w:numPr>
        <w:tabs>
          <w:tab w:val="left" w:pos="385"/>
        </w:tabs>
        <w:kinsoku w:val="0"/>
        <w:overflowPunct w:val="0"/>
        <w:jc w:val="both"/>
        <w:rPr>
          <w:b w:val="0"/>
          <w:bCs w:val="0"/>
        </w:rPr>
      </w:pPr>
      <w:r>
        <w:t>Riservatezza e sicurezza delle informazioni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932E9E" w:rsidRDefault="00932E9E">
      <w:pPr>
        <w:pStyle w:val="BodyText"/>
        <w:kinsoku w:val="0"/>
        <w:overflowPunct w:val="0"/>
        <w:ind w:right="114"/>
        <w:jc w:val="both"/>
        <w:rPr>
          <w:spacing w:val="-1"/>
        </w:rPr>
      </w:pPr>
      <w:r>
        <w:t>I Fornitori devono impegnarsi a tutelare le ragionevoli aspettative di riservatezza dei dati personali dei soggetti con cui svolgono affari, compresi fornitori, clienti, consumatori e dipendenti. I Fornitori sono tenuti a proteggere le informazioni riservate e proprietarie, comprese le informazioni riservate e proprietarie di terzi e i dati personali da accesso, distruzione, uso, modifica e divulgazione non autorizzati, mediante adeguate procedure di sicurezza fisica ed elettronica. I Fornitori devono rispettare le normative vigenti in materia di riservatezza e sicurezza delle informazioni, nonché i requisiti normativi nei casi in cui i dati personali sono raccolti, archiviati, trattati, trasmessi e condivisi.</w:t>
      </w:r>
    </w:p>
    <w:p w:rsidR="00932E9E" w:rsidRDefault="00932E9E">
      <w:pPr>
        <w:pStyle w:val="BodyText"/>
        <w:kinsoku w:val="0"/>
        <w:overflowPunct w:val="0"/>
        <w:spacing w:before="1"/>
        <w:ind w:left="0"/>
      </w:pPr>
    </w:p>
    <w:p w:rsidR="00932E9E" w:rsidRDefault="00932E9E">
      <w:pPr>
        <w:pStyle w:val="Heading1"/>
        <w:numPr>
          <w:ilvl w:val="0"/>
          <w:numId w:val="3"/>
        </w:numPr>
        <w:tabs>
          <w:tab w:val="left" w:pos="897"/>
        </w:tabs>
        <w:kinsoku w:val="0"/>
        <w:overflowPunct w:val="0"/>
        <w:ind w:left="896" w:hanging="612"/>
        <w:rPr>
          <w:b w:val="0"/>
          <w:bCs w:val="0"/>
        </w:rPr>
      </w:pPr>
      <w:r>
        <w:rPr>
          <w:u w:val="single"/>
        </w:rPr>
        <w:t>Sistema di gestione</w:t>
      </w:r>
    </w:p>
    <w:p w:rsidR="00932E9E" w:rsidRDefault="00932E9E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932E9E" w:rsidRDefault="00932E9E">
      <w:pPr>
        <w:pStyle w:val="BodyText"/>
        <w:kinsoku w:val="0"/>
        <w:overflowPunct w:val="0"/>
        <w:spacing w:before="61"/>
        <w:ind w:right="115"/>
        <w:jc w:val="both"/>
        <w:rPr>
          <w:spacing w:val="-1"/>
        </w:rPr>
      </w:pPr>
      <w:r>
        <w:t>I Fornitori devono adottare e utilizzare un sistema di gestione per conformarsi ai principi stabiliti nel presente Codice per i fornitori. I sistemi di gestione variano a seconda del fornitore in base a dimensioni e ambito dell'azienda, nonché rischi. Il sistema di gestione sarà progettato per garantire</w:t>
      </w:r>
    </w:p>
    <w:p w:rsidR="00932E9E" w:rsidRPr="0022294A" w:rsidRDefault="00932E9E" w:rsidP="003B546B">
      <w:pPr>
        <w:pStyle w:val="BodyText"/>
        <w:numPr>
          <w:ilvl w:val="0"/>
          <w:numId w:val="1"/>
        </w:numPr>
        <w:tabs>
          <w:tab w:val="left" w:pos="481"/>
        </w:tabs>
        <w:kinsoku w:val="0"/>
        <w:overflowPunct w:val="0"/>
        <w:ind w:right="122" w:firstLine="0"/>
        <w:jc w:val="both"/>
        <w:rPr>
          <w:spacing w:val="-1"/>
        </w:rPr>
      </w:pPr>
      <w:r>
        <w:t>la conformità a normative, regolamenti e requisiti dei clienti applicabili; (b) la conformità al presente Codice per i fornitori; (c) l'attenuazione dei rischi e (d) un processo per monitorare, misurare e orientare i miglioramenti del sistema di gestione.  Il sistema di gestione deve contenere come minimo i seguenti elementi:</w:t>
      </w:r>
    </w:p>
    <w:p w:rsidR="00932E9E" w:rsidRDefault="00932E9E">
      <w:pPr>
        <w:pStyle w:val="BodyText"/>
        <w:kinsoku w:val="0"/>
        <w:overflowPunct w:val="0"/>
        <w:spacing w:before="3"/>
        <w:ind w:left="0"/>
      </w:pPr>
    </w:p>
    <w:p w:rsidR="00932E9E" w:rsidRDefault="00932E9E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right="115"/>
        <w:jc w:val="both"/>
        <w:rPr>
          <w:spacing w:val="-1"/>
        </w:rPr>
      </w:pPr>
      <w:r>
        <w:rPr>
          <w:b/>
          <w:bCs/>
        </w:rPr>
        <w:t xml:space="preserve">Impegno aziendale e responsabilità gestionale </w:t>
      </w:r>
      <w:r>
        <w:t>attraverso dichiarazioni di politica che affermino l'impegno del fornitore alla conformità e identifichino uno o più rappresentanti aziendali responsabili dell'adozione dei sistemi di gestione.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right="115"/>
        <w:jc w:val="both"/>
        <w:rPr>
          <w:spacing w:val="-1"/>
        </w:rPr>
      </w:pPr>
      <w:r>
        <w:rPr>
          <w:b/>
          <w:bCs/>
        </w:rPr>
        <w:t xml:space="preserve">Processo di valutazione e gestione dei rischi </w:t>
      </w:r>
      <w:r>
        <w:t>per identificare i rischi associati alle operazioni del fornitore. Dal momento che i regolamenti continuano a essere modificati ed emanati, il sistema di gestione del fornitore dovrebbe includere un processo di monitoraggio e tracciatura delle attività normative che possano influire sui propri affari e su quelli dei propri clienti in relazione a, ma non circoscritti a, ambiente, uso limitato di materiali, minerali provenienti da aree di conflitto e rifiuti pericolosi.</w:t>
      </w: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left="0" w:right="115"/>
        <w:jc w:val="both"/>
        <w:rPr>
          <w:spacing w:val="-1"/>
        </w:rPr>
      </w:pPr>
    </w:p>
    <w:p w:rsidR="00932E9E" w:rsidRDefault="00932E9E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spacing w:before="37"/>
        <w:ind w:right="117"/>
        <w:jc w:val="both"/>
        <w:rPr>
          <w:spacing w:val="-1"/>
        </w:rPr>
      </w:pPr>
      <w:r>
        <w:rPr>
          <w:b/>
          <w:bCs/>
        </w:rPr>
        <w:t xml:space="preserve">Programmi di formazione </w:t>
      </w:r>
      <w:r>
        <w:t>per educare responsabili e dipendenti all'attuazione di politiche, procedure e obiettivi di miglioramento del fornitore, nonché per soddisfare i requisiti legali e normativi in vigore.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right="118"/>
        <w:jc w:val="both"/>
        <w:rPr>
          <w:spacing w:val="-1"/>
        </w:rPr>
      </w:pPr>
      <w:r>
        <w:rPr>
          <w:b/>
          <w:bCs/>
        </w:rPr>
        <w:t xml:space="preserve">Standard, controlli e valutazioni </w:t>
      </w:r>
      <w:r>
        <w:t>atti a garantire la conformità a requisiti legali e normativi, contenuto del Codice per i fornitori e requisiti contrattuali dei clienti.</w:t>
      </w:r>
    </w:p>
    <w:p w:rsidR="00932E9E" w:rsidRDefault="00932E9E">
      <w:pPr>
        <w:pStyle w:val="BodyText"/>
        <w:kinsoku w:val="0"/>
        <w:overflowPunct w:val="0"/>
        <w:ind w:left="0"/>
      </w:pPr>
    </w:p>
    <w:p w:rsidR="00932E9E" w:rsidRDefault="00932E9E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right="117"/>
        <w:jc w:val="both"/>
        <w:rPr>
          <w:spacing w:val="-1"/>
        </w:rPr>
      </w:pPr>
      <w:r>
        <w:rPr>
          <w:b/>
          <w:bCs/>
        </w:rPr>
        <w:t xml:space="preserve">Procedura delle misure correttive </w:t>
      </w:r>
      <w:r>
        <w:t>per la correzione tempestiva delle carenze individuate da valutazioni, ispezioni, indagini e revisioni interni o esterni.</w:t>
      </w:r>
    </w:p>
    <w:p w:rsidR="00932E9E" w:rsidRDefault="00932E9E">
      <w:pPr>
        <w:pStyle w:val="BodyText"/>
        <w:kinsoku w:val="0"/>
        <w:overflowPunct w:val="0"/>
        <w:spacing w:before="3"/>
        <w:ind w:left="0"/>
      </w:pPr>
    </w:p>
    <w:p w:rsidR="00932E9E" w:rsidRDefault="00932E9E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right="119"/>
        <w:jc w:val="both"/>
      </w:pPr>
      <w:r>
        <w:rPr>
          <w:b/>
          <w:bCs/>
        </w:rPr>
        <w:t xml:space="preserve">Documenti e documentazione </w:t>
      </w:r>
      <w:r>
        <w:t>per garantire la conformità ai principi del presente Codice per i fornitori.</w:t>
      </w:r>
    </w:p>
    <w:p w:rsidR="00932E9E" w:rsidRDefault="00932E9E">
      <w:pPr>
        <w:pStyle w:val="BodyText"/>
        <w:kinsoku w:val="0"/>
        <w:overflowPunct w:val="0"/>
        <w:spacing w:before="3"/>
        <w:ind w:left="0"/>
      </w:pPr>
    </w:p>
    <w:p w:rsidR="00932E9E" w:rsidRDefault="00932E9E">
      <w:pPr>
        <w:pStyle w:val="BodyText"/>
        <w:numPr>
          <w:ilvl w:val="1"/>
          <w:numId w:val="1"/>
        </w:numPr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  <w:r>
        <w:rPr>
          <w:b/>
          <w:bCs/>
        </w:rPr>
        <w:t xml:space="preserve">Un processo per comunicare i Requisiti del Codice per i fornitori agli interessati </w:t>
      </w:r>
      <w:r>
        <w:t>e monitorare la conformità di questi ultimi al Codice di condotta per i fornitori.</w:t>
      </w:r>
    </w:p>
    <w:p w:rsidR="00080DC9" w:rsidRDefault="00080DC9" w:rsidP="00080DC9">
      <w:pPr>
        <w:pStyle w:val="ListParagraph"/>
        <w:rPr>
          <w:spacing w:val="-1"/>
        </w:rPr>
      </w:pP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</w:p>
    <w:p w:rsidR="00080DC9" w:rsidRDefault="00080DC9" w:rsidP="00080DC9">
      <w:pPr>
        <w:pStyle w:val="BodyText"/>
        <w:tabs>
          <w:tab w:val="left" w:pos="839"/>
        </w:tabs>
        <w:kinsoku w:val="0"/>
        <w:overflowPunct w:val="0"/>
        <w:ind w:right="111"/>
        <w:jc w:val="both"/>
        <w:rPr>
          <w:spacing w:val="-1"/>
        </w:rPr>
      </w:pP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 w:rsidP="006D5475">
      <w:pPr>
        <w:pStyle w:val="Heading1"/>
        <w:numPr>
          <w:ilvl w:val="0"/>
          <w:numId w:val="3"/>
        </w:numPr>
        <w:tabs>
          <w:tab w:val="left" w:pos="839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Segnalazione delle preoccupazioni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b/>
          <w:bCs/>
          <w:sz w:val="18"/>
          <w:szCs w:val="18"/>
        </w:rPr>
      </w:pPr>
    </w:p>
    <w:p w:rsidR="00932E9E" w:rsidRDefault="00932E9E">
      <w:pPr>
        <w:pStyle w:val="BodyText"/>
        <w:kinsoku w:val="0"/>
        <w:overflowPunct w:val="0"/>
        <w:spacing w:before="61"/>
        <w:ind w:right="118"/>
        <w:jc w:val="both"/>
        <w:rPr>
          <w:spacing w:val="-1"/>
        </w:rPr>
      </w:pPr>
      <w:r>
        <w:t>Nel caso in cui il dipendente venisse a conoscenza di una situazione che può comportare una violazione del presente Codice per i fornitori, ha la responsabilità di segnalarla. Nota: il mancato rispetto del presente Codice per i fornitori potrebbe avere come conseguenza la risoluzione contrattuale come fornitore di Resideo e possibili azioni legali.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E4633E" w:rsidRPr="00700AFD" w:rsidRDefault="00932E9E">
      <w:pPr>
        <w:pStyle w:val="BodyText"/>
        <w:kinsoku w:val="0"/>
        <w:overflowPunct w:val="0"/>
        <w:ind w:right="1997"/>
        <w:rPr>
          <w:rFonts w:cs="Arial"/>
          <w:spacing w:val="53"/>
        </w:rPr>
      </w:pPr>
      <w:r>
        <w:rPr>
          <w:rFonts w:cs="Arial"/>
        </w:rPr>
        <w:t xml:space="preserve">Il dipendente può effettuare una segnalazione ricorrendo all'assistenza telefonica per l'integrità di Resideo: </w:t>
      </w:r>
    </w:p>
    <w:p w:rsidR="00E4633E" w:rsidRPr="00700AFD" w:rsidRDefault="00E4633E">
      <w:pPr>
        <w:pStyle w:val="BodyText"/>
        <w:kinsoku w:val="0"/>
        <w:overflowPunct w:val="0"/>
        <w:ind w:right="1997"/>
        <w:rPr>
          <w:rFonts w:cs="Arial"/>
          <w:spacing w:val="53"/>
        </w:rPr>
      </w:pPr>
    </w:p>
    <w:p w:rsidR="00932E9E" w:rsidRPr="00700AFD" w:rsidRDefault="00932E9E">
      <w:pPr>
        <w:pStyle w:val="BodyText"/>
        <w:kinsoku w:val="0"/>
        <w:overflowPunct w:val="0"/>
        <w:ind w:right="1997"/>
        <w:rPr>
          <w:rFonts w:cs="Arial"/>
          <w:spacing w:val="-1"/>
        </w:rPr>
      </w:pPr>
      <w:r>
        <w:rPr>
          <w:rFonts w:cs="Arial"/>
        </w:rPr>
        <w:t xml:space="preserve">N. di telefono: </w:t>
        <w:tab/>
      </w:r>
      <w:r>
        <w:rPr>
          <w:b/>
          <w:color w:val="FF0000"/>
          <w:sz w:val="28"/>
          <w:szCs w:val="28"/>
          <w:rFonts w:cs="Arial"/>
        </w:rPr>
        <w:t>(855) 372-5695</w:t>
      </w:r>
    </w:p>
    <w:p w:rsidR="00932E9E" w:rsidRPr="00700AFD" w:rsidRDefault="00932E9E">
      <w:pPr>
        <w:pStyle w:val="BodyText"/>
        <w:kinsoku w:val="0"/>
        <w:overflowPunct w:val="0"/>
        <w:spacing w:before="1"/>
        <w:ind w:left="0"/>
        <w:rPr>
          <w:rFonts w:cs="Arial"/>
          <w:sz w:val="23"/>
          <w:szCs w:val="23"/>
        </w:rPr>
      </w:pPr>
    </w:p>
    <w:p w:rsidR="00997F9E" w:rsidRPr="00700AFD" w:rsidRDefault="00932E9E" w:rsidP="00F65DC7">
      <w:pPr>
        <w:pStyle w:val="BodyText"/>
        <w:kinsoku w:val="0"/>
        <w:overflowPunct w:val="0"/>
        <w:jc w:val="both"/>
        <w:rPr>
          <w:rFonts w:cs="Arial"/>
          <w:sz w:val="22"/>
          <w:szCs w:val="22"/>
        </w:rPr>
      </w:pPr>
      <w:r>
        <w:rPr>
          <w:rFonts w:cs="Arial"/>
        </w:rPr>
        <w:t>Indirizzo postale:</w:t>
        <w:tab/>
        <w:t>Resideo Technologies, Inc.</w:t>
      </w:r>
    </w:p>
    <w:p w:rsidR="00997F9E" w:rsidRPr="00700AFD" w:rsidRDefault="00997F9E" w:rsidP="00E4633E">
      <w:pPr>
        <w:ind w:left="838" w:firstLine="602"/>
        <w:rPr>
          <w:rFonts w:ascii="Honeywell Sans Web" w:hAnsi="Honeywell Sans Web" w:cs="Arial"/>
        </w:rPr>
      </w:pPr>
      <w:r>
        <w:rPr>
          <w:rFonts w:ascii="Honeywell Sans Web" w:hAnsi="Honeywell Sans Web" w:cs="Arial"/>
        </w:rPr>
        <w:t>All'attenzione di: Integrity &amp; Compliance</w:t>
      </w:r>
    </w:p>
    <w:p w:rsidR="00997F9E" w:rsidRPr="00700AFD" w:rsidRDefault="00997F9E" w:rsidP="00E4633E">
      <w:pPr>
        <w:ind w:left="838" w:firstLine="602"/>
        <w:rPr>
          <w:rFonts w:ascii="Honeywell Sans Web" w:hAnsi="Honeywell Sans Web" w:cs="Arial"/>
        </w:rPr>
      </w:pPr>
      <w:r>
        <w:rPr>
          <w:rFonts w:ascii="Honeywell Sans Web" w:hAnsi="Honeywell Sans Web" w:cs="Arial"/>
        </w:rPr>
        <w:t>2 Corporate Center Drive, Suite n.100</w:t>
      </w:r>
    </w:p>
    <w:p w:rsidR="00997F9E" w:rsidRPr="00700AFD" w:rsidRDefault="00997F9E" w:rsidP="00E4633E">
      <w:pPr>
        <w:ind w:left="838" w:firstLine="602"/>
        <w:rPr>
          <w:rFonts w:ascii="Honeywell Sans Web" w:hAnsi="Honeywell Sans Web" w:cs="Arial"/>
        </w:rPr>
      </w:pPr>
      <w:r>
        <w:rPr>
          <w:rFonts w:ascii="Honeywell Sans Web" w:hAnsi="Honeywell Sans Web" w:cs="Arial"/>
        </w:rPr>
        <w:t>Melville, NY 11747</w:t>
      </w:r>
    </w:p>
    <w:p w:rsidR="00997F9E" w:rsidRPr="00700AFD" w:rsidRDefault="00997F9E" w:rsidP="00997F9E">
      <w:pPr>
        <w:ind w:left="118"/>
        <w:rPr>
          <w:rFonts w:ascii="Honeywell Sans Web" w:hAnsi="Honeywell Sans Web" w:cs="Arial"/>
          <w:color w:val="000000"/>
          <w:spacing w:val="-1"/>
        </w:rPr>
      </w:pPr>
    </w:p>
    <w:p w:rsidR="00997F9E" w:rsidRPr="00700AFD" w:rsidRDefault="00932E9E" w:rsidP="00997F9E">
      <w:pPr>
        <w:ind w:left="118"/>
        <w:rPr>
          <w:rFonts w:ascii="Honeywell Sans Web" w:hAnsi="Honeywell Sans Web" w:cs="Arial"/>
          <w:sz w:val="22"/>
          <w:szCs w:val="22"/>
        </w:rPr>
      </w:pPr>
      <w:r>
        <w:rPr>
          <w:color w:val="000000"/>
          <w:rFonts w:ascii="Honeywell Sans Web" w:hAnsi="Honeywell Sans Web" w:cs="Arial"/>
        </w:rPr>
        <w:t xml:space="preserve">Indirizzo e-mail: </w:t>
        <w:tab/>
      </w:r>
      <w:hyperlink r:id="rId6" w:history="1">
        <w:r>
          <w:rPr>
            <w:rStyle w:val="Hyperlink"/>
            <w:rFonts w:ascii="Honeywell Sans Web" w:hAnsi="Honeywell Sans Web" w:cs="Arial"/>
          </w:rPr>
          <w:t>integrity@resideo.com</w:t>
        </w:r>
      </w:hyperlink>
    </w:p>
    <w:p w:rsidR="00932E9E" w:rsidRDefault="00932E9E" w:rsidP="004371CB">
      <w:pPr>
        <w:pStyle w:val="BodyText"/>
        <w:kinsoku w:val="0"/>
        <w:overflowPunct w:val="0"/>
        <w:spacing w:line="480" w:lineRule="auto"/>
        <w:ind w:right="4812"/>
        <w:rPr>
          <w:color w:val="000000"/>
        </w:rPr>
      </w:pPr>
    </w:p>
    <w:p w:rsidR="00932E9E" w:rsidRDefault="004371CB">
      <w:pPr>
        <w:pStyle w:val="BodyText"/>
        <w:kinsoku w:val="0"/>
        <w:overflowPunct w:val="0"/>
        <w:ind w:right="120"/>
        <w:jc w:val="both"/>
        <w:rPr>
          <w:spacing w:val="-1"/>
        </w:rPr>
      </w:pPr>
      <w:r>
        <w:t>Resideo tratterà tutte le segnalazioni in modo confidenziale nella misura possibile, in conformità a normativa, Politica aziendale e necessità dell'azienda di condurre un'indagine approfondita. Tutte le segnalazioni saranno oggetto di indagini tempestive e approfondite, in linea con la normativa vigente e, su consiglio e approvazione dell'Ufficio legale di Resideo, potranno essere comunicate alle autorità competenti.</w:t>
      </w:r>
    </w:p>
    <w:p w:rsidR="00932E9E" w:rsidRDefault="00932E9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932E9E" w:rsidRDefault="00932E9E">
      <w:pPr>
        <w:pStyle w:val="BodyText"/>
        <w:kinsoku w:val="0"/>
        <w:overflowPunct w:val="0"/>
        <w:ind w:left="2"/>
        <w:jc w:val="center"/>
      </w:pPr>
      <w:r>
        <w:t>***</w:t>
      </w:r>
    </w:p>
    <w:p w:rsidR="00932E9E" w:rsidRDefault="00932E9E">
      <w:pPr>
        <w:pStyle w:val="BodyText"/>
        <w:kinsoku w:val="0"/>
        <w:overflowPunct w:val="0"/>
        <w:spacing w:before="1"/>
        <w:ind w:left="0"/>
      </w:pPr>
    </w:p>
    <w:p w:rsidR="00932E9E" w:rsidRDefault="00932E9E">
      <w:pPr>
        <w:pStyle w:val="BodyText"/>
        <w:kinsoku w:val="0"/>
        <w:overflowPunct w:val="0"/>
        <w:ind w:left="0" w:right="114"/>
        <w:jc w:val="right"/>
      </w:pPr>
      <w:r>
        <w:t>Approvato ottobre 2018</w:t>
      </w:r>
    </w:p>
    <w:sectPr w:rsidR="00932E9E">
      <w:pgSz w:w="12240" w:h="15840"/>
      <w:pgMar w:top="840" w:right="7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oneywell Sans Web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38" w:hanging="495"/>
      </w:pPr>
      <w:rPr>
        <w:rFonts w:ascii="Honeywell Sans Web" w:hAnsi="Honeywell Sans Web" w:cs="Honeywell Sans Web"/>
        <w:b/>
        <w:bCs/>
        <w:color w:val="201E1F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838" w:hanging="360"/>
      </w:pPr>
      <w:rPr>
        <w:rFonts w:ascii="Honeywell Sans Web" w:hAnsi="Honeywell Sans Web" w:cs="Honeywell Sans Web"/>
        <w:b/>
        <w:bCs/>
        <w:color w:val="201E1F"/>
        <w:spacing w:val="1"/>
        <w:sz w:val="24"/>
        <w:szCs w:val="24"/>
      </w:rPr>
    </w:lvl>
    <w:lvl w:ilvl="2">
      <w:numFmt w:val="bullet"/>
      <w:lvlText w:val="•"/>
      <w:lvlJc w:val="left"/>
      <w:pPr>
        <w:ind w:left="2871" w:hanging="360"/>
      </w:pPr>
    </w:lvl>
    <w:lvl w:ilvl="3">
      <w:numFmt w:val="bullet"/>
      <w:lvlText w:val="•"/>
      <w:lvlJc w:val="left"/>
      <w:pPr>
        <w:ind w:left="3887" w:hanging="360"/>
      </w:pPr>
    </w:lvl>
    <w:lvl w:ilvl="4">
      <w:numFmt w:val="bullet"/>
      <w:lvlText w:val="•"/>
      <w:lvlJc w:val="left"/>
      <w:pPr>
        <w:ind w:left="4903" w:hanging="360"/>
      </w:pPr>
    </w:lvl>
    <w:lvl w:ilvl="5">
      <w:numFmt w:val="bullet"/>
      <w:lvlText w:val="•"/>
      <w:lvlJc w:val="left"/>
      <w:pPr>
        <w:ind w:left="5919" w:hanging="360"/>
      </w:pPr>
    </w:lvl>
    <w:lvl w:ilvl="6">
      <w:numFmt w:val="bullet"/>
      <w:lvlText w:val="•"/>
      <w:lvlJc w:val="left"/>
      <w:pPr>
        <w:ind w:left="6935" w:hanging="360"/>
      </w:pPr>
    </w:lvl>
    <w:lvl w:ilvl="7">
      <w:numFmt w:val="bullet"/>
      <w:lvlText w:val="•"/>
      <w:lvlJc w:val="left"/>
      <w:pPr>
        <w:ind w:left="7951" w:hanging="360"/>
      </w:pPr>
    </w:lvl>
    <w:lvl w:ilvl="8">
      <w:numFmt w:val="bullet"/>
      <w:lvlText w:val="•"/>
      <w:lvlJc w:val="left"/>
      <w:pPr>
        <w:ind w:left="8967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38" w:hanging="360"/>
      </w:pPr>
      <w:rPr>
        <w:rFonts w:ascii="Honeywell Sans Web" w:hAnsi="Honeywell Sans Web" w:cs="Honeywell Sans Web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1855" w:hanging="360"/>
      </w:pPr>
    </w:lvl>
    <w:lvl w:ilvl="2">
      <w:numFmt w:val="bullet"/>
      <w:lvlText w:val="•"/>
      <w:lvlJc w:val="left"/>
      <w:pPr>
        <w:ind w:left="2871" w:hanging="360"/>
      </w:pPr>
    </w:lvl>
    <w:lvl w:ilvl="3">
      <w:numFmt w:val="bullet"/>
      <w:lvlText w:val="•"/>
      <w:lvlJc w:val="left"/>
      <w:pPr>
        <w:ind w:left="3887" w:hanging="360"/>
      </w:pPr>
    </w:lvl>
    <w:lvl w:ilvl="4">
      <w:numFmt w:val="bullet"/>
      <w:lvlText w:val="•"/>
      <w:lvlJc w:val="left"/>
      <w:pPr>
        <w:ind w:left="4903" w:hanging="360"/>
      </w:pPr>
    </w:lvl>
    <w:lvl w:ilvl="5">
      <w:numFmt w:val="bullet"/>
      <w:lvlText w:val="•"/>
      <w:lvlJc w:val="left"/>
      <w:pPr>
        <w:ind w:left="5919" w:hanging="360"/>
      </w:pPr>
    </w:lvl>
    <w:lvl w:ilvl="6">
      <w:numFmt w:val="bullet"/>
      <w:lvlText w:val="•"/>
      <w:lvlJc w:val="left"/>
      <w:pPr>
        <w:ind w:left="6935" w:hanging="360"/>
      </w:pPr>
    </w:lvl>
    <w:lvl w:ilvl="7">
      <w:numFmt w:val="bullet"/>
      <w:lvlText w:val="•"/>
      <w:lvlJc w:val="left"/>
      <w:pPr>
        <w:ind w:left="7951" w:hanging="360"/>
      </w:pPr>
    </w:lvl>
    <w:lvl w:ilvl="8">
      <w:numFmt w:val="bullet"/>
      <w:lvlText w:val="•"/>
      <w:lvlJc w:val="left"/>
      <w:pPr>
        <w:ind w:left="896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838" w:hanging="360"/>
      </w:pPr>
      <w:rPr>
        <w:rFonts w:ascii="Honeywell Sans Web" w:hAnsi="Honeywell Sans Web" w:cs="Honeywell Sans Web"/>
        <w:b/>
        <w:bCs/>
        <w:color w:val="201E1F"/>
        <w:spacing w:val="1"/>
        <w:sz w:val="24"/>
        <w:szCs w:val="24"/>
      </w:rPr>
    </w:lvl>
    <w:lvl w:ilvl="1">
      <w:numFmt w:val="bullet"/>
      <w:lvlText w:val="•"/>
      <w:lvlJc w:val="left"/>
      <w:pPr>
        <w:ind w:left="1827" w:hanging="360"/>
      </w:pPr>
    </w:lvl>
    <w:lvl w:ilvl="2">
      <w:numFmt w:val="bullet"/>
      <w:lvlText w:val="•"/>
      <w:lvlJc w:val="left"/>
      <w:pPr>
        <w:ind w:left="2815" w:hanging="360"/>
      </w:pPr>
    </w:lvl>
    <w:lvl w:ilvl="3">
      <w:numFmt w:val="bullet"/>
      <w:lvlText w:val="•"/>
      <w:lvlJc w:val="left"/>
      <w:pPr>
        <w:ind w:left="3803" w:hanging="360"/>
      </w:pPr>
    </w:lvl>
    <w:lvl w:ilvl="4">
      <w:numFmt w:val="bullet"/>
      <w:lvlText w:val="•"/>
      <w:lvlJc w:val="left"/>
      <w:pPr>
        <w:ind w:left="4791" w:hanging="360"/>
      </w:pPr>
    </w:lvl>
    <w:lvl w:ilvl="5">
      <w:numFmt w:val="bullet"/>
      <w:lvlText w:val="•"/>
      <w:lvlJc w:val="left"/>
      <w:pPr>
        <w:ind w:left="5779" w:hanging="360"/>
      </w:pPr>
    </w:lvl>
    <w:lvl w:ilvl="6">
      <w:numFmt w:val="bullet"/>
      <w:lvlText w:val="•"/>
      <w:lvlJc w:val="left"/>
      <w:pPr>
        <w:ind w:left="6767" w:hanging="360"/>
      </w:pPr>
    </w:lvl>
    <w:lvl w:ilvl="7">
      <w:numFmt w:val="bullet"/>
      <w:lvlText w:val="•"/>
      <w:lvlJc w:val="left"/>
      <w:pPr>
        <w:ind w:left="7755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3" w15:restartNumberingAfterBreak="0">
    <w:nsid w:val="00000405"/>
    <w:multiLevelType w:val="multilevel"/>
    <w:tmpl w:val="3D426FC6"/>
    <w:lvl w:ilvl="0">
      <w:start w:val="2"/>
      <w:numFmt w:val="upperRoman"/>
      <w:lvlText w:val="%1."/>
      <w:lvlJc w:val="left"/>
      <w:pPr>
        <w:ind w:left="731" w:hanging="551"/>
      </w:pPr>
      <w:rPr>
        <w:rFonts w:ascii="Honeywell Sans Web" w:hAnsi="Honeywell Sans Web" w:cs="Honeywell Sans Web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31" w:hanging="360"/>
      </w:pPr>
      <w:rPr>
        <w:rFonts w:ascii="Honeywell Sans Web" w:hAnsi="Honeywell Sans Web" w:cs="Honeywell Sans Web"/>
        <w:b/>
        <w:bCs/>
        <w:spacing w:val="1"/>
        <w:sz w:val="24"/>
        <w:szCs w:val="24"/>
      </w:r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696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672" w:hanging="360"/>
      </w:pPr>
    </w:lvl>
    <w:lvl w:ilvl="6">
      <w:numFmt w:val="bullet"/>
      <w:lvlText w:val="•"/>
      <w:lvlJc w:val="left"/>
      <w:pPr>
        <w:ind w:left="6660" w:hanging="360"/>
      </w:pPr>
    </w:lvl>
    <w:lvl w:ilvl="7">
      <w:numFmt w:val="bullet"/>
      <w:lvlText w:val="•"/>
      <w:lvlJc w:val="left"/>
      <w:pPr>
        <w:ind w:left="7648" w:hanging="360"/>
      </w:pPr>
    </w:lvl>
    <w:lvl w:ilvl="8">
      <w:numFmt w:val="bullet"/>
      <w:lvlText w:val="•"/>
      <w:lvlJc w:val="left"/>
      <w:pPr>
        <w:ind w:left="863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8" w:hanging="257"/>
      </w:pPr>
      <w:rPr>
        <w:rFonts w:ascii="Honeywell Sans Web" w:hAnsi="Honeywell Sans Web" w:cs="Honeywell Sans Web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8" w:hanging="257"/>
      </w:pPr>
    </w:lvl>
    <w:lvl w:ilvl="2">
      <w:numFmt w:val="bullet"/>
      <w:lvlText w:val="•"/>
      <w:lvlJc w:val="left"/>
      <w:pPr>
        <w:ind w:left="2238" w:hanging="257"/>
      </w:pPr>
    </w:lvl>
    <w:lvl w:ilvl="3">
      <w:numFmt w:val="bullet"/>
      <w:lvlText w:val="•"/>
      <w:lvlJc w:val="left"/>
      <w:pPr>
        <w:ind w:left="3298" w:hanging="257"/>
      </w:pPr>
    </w:lvl>
    <w:lvl w:ilvl="4">
      <w:numFmt w:val="bullet"/>
      <w:lvlText w:val="•"/>
      <w:lvlJc w:val="left"/>
      <w:pPr>
        <w:ind w:left="4359" w:hanging="257"/>
      </w:pPr>
    </w:lvl>
    <w:lvl w:ilvl="5">
      <w:numFmt w:val="bullet"/>
      <w:lvlText w:val="•"/>
      <w:lvlJc w:val="left"/>
      <w:pPr>
        <w:ind w:left="5419" w:hanging="257"/>
      </w:pPr>
    </w:lvl>
    <w:lvl w:ilvl="6">
      <w:numFmt w:val="bullet"/>
      <w:lvlText w:val="•"/>
      <w:lvlJc w:val="left"/>
      <w:pPr>
        <w:ind w:left="6479" w:hanging="257"/>
      </w:pPr>
    </w:lvl>
    <w:lvl w:ilvl="7">
      <w:numFmt w:val="bullet"/>
      <w:lvlText w:val="•"/>
      <w:lvlJc w:val="left"/>
      <w:pPr>
        <w:ind w:left="7539" w:hanging="257"/>
      </w:pPr>
    </w:lvl>
    <w:lvl w:ilvl="8">
      <w:numFmt w:val="bullet"/>
      <w:lvlText w:val="•"/>
      <w:lvlJc w:val="left"/>
      <w:pPr>
        <w:ind w:left="8599" w:hanging="25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(%1)"/>
      <w:lvlJc w:val="left"/>
      <w:pPr>
        <w:ind w:left="118" w:hanging="363"/>
      </w:pPr>
      <w:rPr>
        <w:rFonts w:ascii="Honeywell Sans Web" w:hAnsi="Honeywell Sans Web" w:cs="Honeywell Sans Web"/>
        <w:b w:val="0"/>
        <w:bCs w:val="0"/>
        <w:spacing w:val="-1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93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4132" w:hanging="360"/>
      </w:pPr>
    </w:lvl>
    <w:lvl w:ilvl="5">
      <w:numFmt w:val="bullet"/>
      <w:lvlText w:val="•"/>
      <w:lvlJc w:val="left"/>
      <w:pPr>
        <w:ind w:left="5230" w:hanging="360"/>
      </w:pPr>
    </w:lvl>
    <w:lvl w:ilvl="6">
      <w:numFmt w:val="bullet"/>
      <w:lvlText w:val="•"/>
      <w:lvlJc w:val="left"/>
      <w:pPr>
        <w:ind w:left="6328" w:hanging="360"/>
      </w:pPr>
    </w:lvl>
    <w:lvl w:ilvl="7">
      <w:numFmt w:val="bullet"/>
      <w:lvlText w:val="•"/>
      <w:lvlJc w:val="left"/>
      <w:pPr>
        <w:ind w:left="7426" w:hanging="360"/>
      </w:pPr>
    </w:lvl>
    <w:lvl w:ilvl="8">
      <w:numFmt w:val="bullet"/>
      <w:lvlText w:val="•"/>
      <w:lvlJc w:val="left"/>
      <w:pPr>
        <w:ind w:left="8524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NLe0NDU0MzUyMjJW0lEKTi0uzszPAykwqgUA0TRMzCwAAAA="/>
  </w:docVars>
  <w:rsids>
    <w:rsidRoot w:val="008D4B03"/>
    <w:rsid w:val="00080DC9"/>
    <w:rsid w:val="00196624"/>
    <w:rsid w:val="0022294A"/>
    <w:rsid w:val="003B546B"/>
    <w:rsid w:val="00402D07"/>
    <w:rsid w:val="004371CB"/>
    <w:rsid w:val="00440B8E"/>
    <w:rsid w:val="0063405E"/>
    <w:rsid w:val="006D5475"/>
    <w:rsid w:val="00700AFD"/>
    <w:rsid w:val="007B4485"/>
    <w:rsid w:val="008D4B03"/>
    <w:rsid w:val="00932E9E"/>
    <w:rsid w:val="00997F9E"/>
    <w:rsid w:val="00C51E13"/>
    <w:rsid w:val="00DB31A8"/>
    <w:rsid w:val="00E4633E"/>
    <w:rsid w:val="00EF52DB"/>
    <w:rsid w:val="00F6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86C8B0-3072-4699-8EB6-2676F153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8" w:hanging="360"/>
      <w:outlineLvl w:val="0"/>
    </w:pPr>
    <w:rPr>
      <w:rFonts w:ascii="Honeywell Sans Web" w:hAnsi="Honeywell Sans Web" w:cs="Honeywell Sans Web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rFonts w:ascii="Honeywell Sans Web" w:hAnsi="Honeywell Sans Web" w:cs="Honeywell Sans We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97F9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ity@reside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Cathy</dc:creator>
  <cp:keywords/>
  <dc:description/>
  <cp:lastModifiedBy>Anchan, Sparsha</cp:lastModifiedBy>
  <cp:revision>2</cp:revision>
  <dcterms:created xsi:type="dcterms:W3CDTF">2018-11-20T11:15:00Z</dcterms:created>
  <dcterms:modified xsi:type="dcterms:W3CDTF">2018-11-20T11:15:00Z</dcterms:modified>
</cp:coreProperties>
</file>