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9E" w:rsidRDefault="00932E9E">
      <w:pPr>
        <w:pStyle w:val="BodyText"/>
        <w:kinsoku w:val="0"/>
        <w:overflowPunct w:val="0"/>
        <w:spacing w:before="3"/>
        <w:ind w:left="0"/>
        <w:rPr>
          <w:rFonts w:ascii="Times New Roman" w:hAnsi="Times New Roman" w:cs="Times New Roman"/>
          <w:sz w:val="7"/>
          <w:szCs w:val="7"/>
        </w:rPr>
      </w:pPr>
      <w:bookmarkStart w:id="0" w:name="_GoBack"/>
      <w:bookmarkEnd w:id="0"/>
    </w:p>
    <w:p w:rsidR="00932E9E" w:rsidRDefault="007B4485">
      <w:pPr>
        <w:pStyle w:val="BodyText"/>
        <w:kinsoku w:val="0"/>
        <w:overflowPunct w:val="0"/>
        <w:spacing w:line="200" w:lineRule="atLeast"/>
        <w:ind w:left="6836"/>
        <w:rPr>
          <w:rFonts w:ascii="Times New Roman" w:hAnsi="Times New Roman" w:cs="Times New Roman"/>
          <w:sz w:val="20"/>
          <w:szCs w:val="20"/>
        </w:rPr>
      </w:pPr>
      <w:r>
        <w:rPr>
          <w:sz w:val="20"/>
          <w:szCs w:val="20"/>
          <w:rFonts w:ascii="Times New Roman" w:hAnsi="Times New Roman" w:cs="Times New Roman"/>
        </w:rPr>
        <w:drawing>
          <wp:inline distT="0" distB="0" distL="0" distR="0">
            <wp:extent cx="2560320" cy="1002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0320" cy="1002030"/>
                    </a:xfrm>
                    <a:prstGeom prst="rect">
                      <a:avLst/>
                    </a:prstGeom>
                    <a:noFill/>
                    <a:ln>
                      <a:noFill/>
                    </a:ln>
                  </pic:spPr>
                </pic:pic>
              </a:graphicData>
            </a:graphic>
          </wp:inline>
        </w:drawing>
      </w:r>
    </w:p>
    <w:p w:rsidR="00932E9E" w:rsidRDefault="00932E9E">
      <w:pPr>
        <w:pStyle w:val="BodyText"/>
        <w:kinsoku w:val="0"/>
        <w:overflowPunct w:val="0"/>
        <w:spacing w:before="4"/>
        <w:ind w:left="0"/>
        <w:rPr>
          <w:rFonts w:ascii="Times New Roman" w:hAnsi="Times New Roman" w:cs="Times New Roman"/>
          <w:sz w:val="16"/>
          <w:szCs w:val="16"/>
        </w:rPr>
      </w:pPr>
    </w:p>
    <w:p w:rsidR="00932E9E" w:rsidRPr="00C51E13" w:rsidRDefault="004371CB" w:rsidP="00EF52DB">
      <w:pPr>
        <w:pStyle w:val="Heading1"/>
        <w:kinsoku w:val="0"/>
        <w:overflowPunct w:val="0"/>
        <w:spacing w:before="61"/>
        <w:ind w:left="0" w:firstLine="0"/>
        <w:jc w:val="center"/>
        <w:rPr>
          <w:b w:val="0"/>
          <w:bCs w:val="0"/>
          <w:sz w:val="28"/>
          <w:szCs w:val="28"/>
        </w:rPr>
      </w:pPr>
      <w:r>
        <w:rPr>
          <w:sz w:val="28"/>
          <w:szCs w:val="28"/>
        </w:rPr>
        <w:t>Resideo 供应商商业行为守则</w:t>
      </w:r>
    </w:p>
    <w:p w:rsidR="00932E9E" w:rsidRDefault="00932E9E">
      <w:pPr>
        <w:pStyle w:val="BodyText"/>
        <w:kinsoku w:val="0"/>
        <w:overflowPunct w:val="0"/>
        <w:ind w:left="0"/>
        <w:rPr>
          <w:b/>
          <w:bCs/>
        </w:rPr>
      </w:pPr>
    </w:p>
    <w:p w:rsidR="00932E9E" w:rsidRDefault="004371CB">
      <w:pPr>
        <w:pStyle w:val="BodyText"/>
        <w:kinsoku w:val="0"/>
        <w:overflowPunct w:val="0"/>
        <w:ind w:right="394"/>
        <w:jc w:val="both"/>
        <w:rPr>
          <w:spacing w:val="-1"/>
        </w:rPr>
      </w:pPr>
      <w:r>
        <w:t>Resideo 致力于在一切行为中坚持诚信和遵纪守法。 秉着该承诺，Resideo 要求供应商务必为其员工提供安全的工作环境，尊重员工，维护员工尊严，实施环保和可持续的制造流程，遵守各个经营地的法律。 供应商应建设正面的文化环境，让员工和经理可以坦诚沟通，举报担忧，而不担心遭到报复、恐吓或骚扰。</w:t>
      </w:r>
    </w:p>
    <w:p w:rsidR="00932E9E" w:rsidRDefault="00932E9E">
      <w:pPr>
        <w:pStyle w:val="BodyText"/>
        <w:kinsoku w:val="0"/>
        <w:overflowPunct w:val="0"/>
        <w:spacing w:before="11"/>
        <w:ind w:left="0"/>
        <w:rPr>
          <w:sz w:val="23"/>
          <w:szCs w:val="23"/>
        </w:rPr>
      </w:pPr>
    </w:p>
    <w:p w:rsidR="00932E9E" w:rsidRDefault="004371CB" w:rsidP="00F65DC7">
      <w:pPr>
        <w:pStyle w:val="BodyText"/>
        <w:kinsoku w:val="0"/>
        <w:overflowPunct w:val="0"/>
        <w:ind w:right="391"/>
        <w:jc w:val="both"/>
        <w:rPr>
          <w:spacing w:val="-1"/>
        </w:rPr>
      </w:pPr>
      <w:r>
        <w:t>Resideo 供应商行为守则（简称“供应商守则”）阐述了 Resideo 在全球供应链中坚持诚信和遵纪守法的承诺。 我们希望所有供应商都能遵守供应商守则，并确保这些要求在其供应链中得到贯彻和落实。 无论是否对供应商发出通知，Resideo 都可能视察（和/或促使外部监督人员视察）供应商设施场所，以评估供应商守则的落实情况。 我们在决定是否委聘供应商时，会考虑供应商对供应商守则所述要求的落实情况。 如果未遵守供应商守则，可能会被立即解除 Resideo 供应商身份，还有可能被起诉。</w:t>
      </w:r>
    </w:p>
    <w:p w:rsidR="00932E9E" w:rsidRDefault="00932E9E">
      <w:pPr>
        <w:pStyle w:val="BodyText"/>
        <w:kinsoku w:val="0"/>
        <w:overflowPunct w:val="0"/>
        <w:ind w:left="0"/>
      </w:pPr>
    </w:p>
    <w:p w:rsidR="00932E9E" w:rsidRDefault="00932E9E">
      <w:pPr>
        <w:pStyle w:val="BodyText"/>
        <w:kinsoku w:val="0"/>
        <w:overflowPunct w:val="0"/>
        <w:spacing w:before="2"/>
        <w:ind w:left="0"/>
      </w:pPr>
    </w:p>
    <w:p w:rsidR="00932E9E" w:rsidRDefault="00932E9E">
      <w:pPr>
        <w:pStyle w:val="Heading1"/>
        <w:numPr>
          <w:ilvl w:val="0"/>
          <w:numId w:val="6"/>
        </w:numPr>
        <w:tabs>
          <w:tab w:val="left" w:pos="839"/>
        </w:tabs>
        <w:kinsoku w:val="0"/>
        <w:overflowPunct w:val="0"/>
        <w:ind w:hanging="494"/>
        <w:rPr>
          <w:b w:val="0"/>
          <w:bCs w:val="0"/>
          <w:color w:val="000000"/>
        </w:rPr>
      </w:pPr>
      <w:r>
        <w:rPr>
          <w:color w:val="201E1F"/>
          <w:u w:val="single"/>
        </w:rPr>
        <w:t>劳工和人权</w:t>
      </w:r>
    </w:p>
    <w:p w:rsidR="00932E9E" w:rsidRDefault="00932E9E">
      <w:pPr>
        <w:pStyle w:val="BodyText"/>
        <w:kinsoku w:val="0"/>
        <w:overflowPunct w:val="0"/>
        <w:spacing w:before="9"/>
        <w:ind w:left="0"/>
        <w:rPr>
          <w:b/>
          <w:bCs/>
          <w:sz w:val="18"/>
          <w:szCs w:val="18"/>
        </w:rPr>
      </w:pPr>
    </w:p>
    <w:p w:rsidR="00932E9E" w:rsidRDefault="00932E9E">
      <w:pPr>
        <w:pStyle w:val="BodyText"/>
        <w:numPr>
          <w:ilvl w:val="1"/>
          <w:numId w:val="6"/>
        </w:numPr>
        <w:tabs>
          <w:tab w:val="left" w:pos="839"/>
        </w:tabs>
        <w:kinsoku w:val="0"/>
        <w:overflowPunct w:val="0"/>
        <w:spacing w:before="61"/>
        <w:rPr>
          <w:color w:val="000000"/>
        </w:rPr>
      </w:pPr>
      <w:r>
        <w:rPr>
          <w:b/>
          <w:bCs/>
          <w:color w:val="201E1F"/>
        </w:rPr>
        <w:t>平等对待</w:t>
      </w:r>
    </w:p>
    <w:p w:rsidR="00932E9E" w:rsidRDefault="00932E9E">
      <w:pPr>
        <w:pStyle w:val="BodyText"/>
        <w:kinsoku w:val="0"/>
        <w:overflowPunct w:val="0"/>
        <w:spacing w:before="1"/>
        <w:ind w:left="0"/>
        <w:rPr>
          <w:b/>
          <w:bCs/>
        </w:rPr>
      </w:pPr>
    </w:p>
    <w:p w:rsidR="00932E9E" w:rsidRDefault="00932E9E">
      <w:pPr>
        <w:pStyle w:val="BodyText"/>
        <w:kinsoku w:val="0"/>
        <w:overflowPunct w:val="0"/>
        <w:ind w:right="398"/>
        <w:jc w:val="both"/>
        <w:rPr>
          <w:color w:val="000000"/>
        </w:rPr>
      </w:pPr>
      <w:r>
        <w:rPr>
          <w:color w:val="201E1F"/>
        </w:rPr>
        <w:t>供应商应致力于创造一个无骚扰和非法歧视的工作环境。 可能被描述为“骚扰”的行为例子包括但不限于：威胁或促使对工作人员实施恶劣或不人道的对待、性骚扰、性虐待、体罚、精神胁迫、身体胁迫、言语虐待，以及不合理地限制工作人员进入或离开公司提供的设施场所。</w:t>
      </w:r>
    </w:p>
    <w:p w:rsidR="00932E9E" w:rsidRDefault="00932E9E">
      <w:pPr>
        <w:pStyle w:val="BodyText"/>
        <w:kinsoku w:val="0"/>
        <w:overflowPunct w:val="0"/>
        <w:spacing w:before="12"/>
        <w:ind w:left="0"/>
        <w:rPr>
          <w:sz w:val="23"/>
          <w:szCs w:val="23"/>
        </w:rPr>
      </w:pPr>
    </w:p>
    <w:p w:rsidR="00932E9E" w:rsidRDefault="00932E9E">
      <w:pPr>
        <w:pStyle w:val="Heading1"/>
        <w:numPr>
          <w:ilvl w:val="1"/>
          <w:numId w:val="6"/>
        </w:numPr>
        <w:tabs>
          <w:tab w:val="left" w:pos="839"/>
        </w:tabs>
        <w:kinsoku w:val="0"/>
        <w:overflowPunct w:val="0"/>
        <w:rPr>
          <w:b w:val="0"/>
          <w:bCs w:val="0"/>
          <w:color w:val="000000"/>
        </w:rPr>
      </w:pPr>
      <w:r>
        <w:rPr>
          <w:color w:val="201E1F"/>
        </w:rPr>
        <w:t>禁止强迫劳动或人口贩卖</w:t>
      </w:r>
    </w:p>
    <w:p w:rsidR="00932E9E" w:rsidRDefault="00932E9E">
      <w:pPr>
        <w:pStyle w:val="BodyText"/>
        <w:kinsoku w:val="0"/>
        <w:overflowPunct w:val="0"/>
        <w:spacing w:before="1"/>
        <w:ind w:left="0"/>
        <w:rPr>
          <w:b/>
          <w:bCs/>
        </w:rPr>
      </w:pPr>
    </w:p>
    <w:p w:rsidR="00932E9E" w:rsidRDefault="00932E9E">
      <w:pPr>
        <w:pStyle w:val="BodyText"/>
        <w:kinsoku w:val="0"/>
        <w:overflowPunct w:val="0"/>
        <w:ind w:right="400"/>
        <w:jc w:val="both"/>
        <w:rPr>
          <w:color w:val="000000"/>
        </w:rPr>
      </w:pPr>
      <w:r>
        <w:rPr>
          <w:color w:val="201E1F"/>
        </w:rPr>
        <w:t>供应商不得贩卖人口或使用任何形式的奴役劳工、强迫劳工、抵债劳工、契约劳工或强迫监狱劳工。 这包括通过威胁、武力、胁迫、诱拐、欺骗或者向任何对另一人实施控制以进行剥削的人员支付报酬的方式，运送、藏匿、雇用、转移或接收人口。</w:t>
      </w:r>
    </w:p>
    <w:p w:rsidR="00932E9E" w:rsidRDefault="00932E9E">
      <w:pPr>
        <w:pStyle w:val="BodyText"/>
        <w:kinsoku w:val="0"/>
        <w:overflowPunct w:val="0"/>
        <w:spacing w:before="1"/>
        <w:ind w:left="0"/>
      </w:pPr>
    </w:p>
    <w:p w:rsidR="00932E9E" w:rsidRDefault="00932E9E">
      <w:pPr>
        <w:pStyle w:val="BodyText"/>
        <w:kinsoku w:val="0"/>
        <w:overflowPunct w:val="0"/>
        <w:ind w:right="403"/>
        <w:jc w:val="both"/>
        <w:rPr>
          <w:spacing w:val="-1"/>
        </w:rPr>
      </w:pPr>
      <w:r>
        <w:t>秉着禁止贩卖人口的承诺，供应商不得参与任何下列行为：</w:t>
      </w:r>
    </w:p>
    <w:p w:rsidR="00932E9E" w:rsidRDefault="00932E9E">
      <w:pPr>
        <w:pStyle w:val="BodyText"/>
        <w:kinsoku w:val="0"/>
        <w:overflowPunct w:val="0"/>
        <w:spacing w:before="11"/>
        <w:ind w:left="0"/>
        <w:rPr>
          <w:sz w:val="23"/>
          <w:szCs w:val="23"/>
        </w:rPr>
      </w:pPr>
    </w:p>
    <w:p w:rsidR="00932E9E" w:rsidRDefault="00932E9E">
      <w:pPr>
        <w:pStyle w:val="BodyText"/>
        <w:numPr>
          <w:ilvl w:val="0"/>
          <w:numId w:val="5"/>
        </w:numPr>
        <w:tabs>
          <w:tab w:val="left" w:pos="839"/>
        </w:tabs>
        <w:kinsoku w:val="0"/>
        <w:overflowPunct w:val="0"/>
        <w:rPr>
          <w:spacing w:val="-1"/>
        </w:rPr>
      </w:pPr>
      <w:r>
        <w:t>销毁、藏匿或没收身份证件或移民文件；</w:t>
      </w:r>
    </w:p>
    <w:p w:rsidR="00932E9E" w:rsidRDefault="00932E9E">
      <w:pPr>
        <w:pStyle w:val="BodyText"/>
        <w:numPr>
          <w:ilvl w:val="0"/>
          <w:numId w:val="5"/>
        </w:numPr>
        <w:tabs>
          <w:tab w:val="left" w:pos="839"/>
        </w:tabs>
        <w:kinsoku w:val="0"/>
        <w:overflowPunct w:val="0"/>
        <w:rPr>
          <w:spacing w:val="-1"/>
        </w:rPr>
        <w:sectPr w:rsidR="00932E9E">
          <w:type w:val="continuous"/>
          <w:pgSz w:w="12240" w:h="15840"/>
          <w:pgMar w:top="180" w:right="480" w:bottom="280" w:left="760" w:header="720" w:footer="720" w:gutter="0"/>
          <w:cols w:space="720"/>
          <w:noEndnote/>
        </w:sectPr>
      </w:pPr>
    </w:p>
    <w:p w:rsidR="00932E9E" w:rsidRDefault="00932E9E">
      <w:pPr>
        <w:pStyle w:val="BodyText"/>
        <w:numPr>
          <w:ilvl w:val="0"/>
          <w:numId w:val="5"/>
        </w:numPr>
        <w:tabs>
          <w:tab w:val="left" w:pos="839"/>
        </w:tabs>
        <w:kinsoku w:val="0"/>
        <w:overflowPunct w:val="0"/>
        <w:spacing w:before="35"/>
      </w:pPr>
      <w:r>
        <w:t>使用欺诈性招聘策略；或</w:t>
      </w:r>
    </w:p>
    <w:p w:rsidR="00932E9E" w:rsidRDefault="00932E9E">
      <w:pPr>
        <w:pStyle w:val="BodyText"/>
        <w:numPr>
          <w:ilvl w:val="0"/>
          <w:numId w:val="5"/>
        </w:numPr>
        <w:tabs>
          <w:tab w:val="left" w:pos="839"/>
        </w:tabs>
        <w:kinsoku w:val="0"/>
        <w:overflowPunct w:val="0"/>
        <w:ind w:right="122"/>
        <w:rPr>
          <w:spacing w:val="-1"/>
        </w:rPr>
      </w:pPr>
      <w:r>
        <w:t>对员工收取不合理的招聘费，或者提供不符合当地标准、法律和规定的不良住宿条件。</w:t>
      </w:r>
    </w:p>
    <w:p w:rsidR="00932E9E" w:rsidRDefault="00932E9E">
      <w:pPr>
        <w:pStyle w:val="BodyText"/>
        <w:kinsoku w:val="0"/>
        <w:overflowPunct w:val="0"/>
        <w:ind w:left="0"/>
      </w:pPr>
    </w:p>
    <w:p w:rsidR="00932E9E" w:rsidRDefault="00932E9E">
      <w:pPr>
        <w:pStyle w:val="Heading1"/>
        <w:numPr>
          <w:ilvl w:val="0"/>
          <w:numId w:val="4"/>
        </w:numPr>
        <w:tabs>
          <w:tab w:val="left" w:pos="839"/>
        </w:tabs>
        <w:kinsoku w:val="0"/>
        <w:overflowPunct w:val="0"/>
        <w:rPr>
          <w:b w:val="0"/>
          <w:bCs w:val="0"/>
          <w:color w:val="000000"/>
        </w:rPr>
      </w:pPr>
      <w:r>
        <w:rPr>
          <w:color w:val="201E1F"/>
        </w:rPr>
        <w:t>禁用童工</w:t>
      </w:r>
    </w:p>
    <w:p w:rsidR="00932E9E" w:rsidRDefault="00932E9E">
      <w:pPr>
        <w:pStyle w:val="BodyText"/>
        <w:kinsoku w:val="0"/>
        <w:overflowPunct w:val="0"/>
        <w:spacing w:before="11"/>
        <w:ind w:left="0"/>
        <w:rPr>
          <w:b/>
          <w:bCs/>
          <w:sz w:val="23"/>
          <w:szCs w:val="23"/>
        </w:rPr>
      </w:pPr>
    </w:p>
    <w:p w:rsidR="00932E9E" w:rsidRDefault="00932E9E">
      <w:pPr>
        <w:pStyle w:val="BodyText"/>
        <w:kinsoku w:val="0"/>
        <w:overflowPunct w:val="0"/>
        <w:ind w:right="115"/>
        <w:jc w:val="both"/>
        <w:rPr>
          <w:color w:val="000000"/>
        </w:rPr>
      </w:pPr>
      <w:r>
        <w:rPr>
          <w:color w:val="201E1F"/>
        </w:rPr>
        <w:t>严禁使用童工。 供应商不得雇用儿童。 最低就业或工作年龄应为 16 周岁、当地规定的最低就业年龄或当地规定的普通义务教育毕业年龄，以较高的年龄为准。 本供应商守则不禁止供应商参与合法的工作场所学徒计划。</w:t>
      </w:r>
    </w:p>
    <w:p w:rsidR="00932E9E" w:rsidRDefault="00932E9E">
      <w:pPr>
        <w:pStyle w:val="BodyText"/>
        <w:kinsoku w:val="0"/>
        <w:overflowPunct w:val="0"/>
        <w:spacing w:before="11"/>
        <w:ind w:left="0"/>
        <w:rPr>
          <w:sz w:val="23"/>
          <w:szCs w:val="23"/>
        </w:rPr>
      </w:pPr>
    </w:p>
    <w:p w:rsidR="00932E9E" w:rsidRDefault="00932E9E">
      <w:pPr>
        <w:pStyle w:val="Heading1"/>
        <w:numPr>
          <w:ilvl w:val="0"/>
          <w:numId w:val="4"/>
        </w:numPr>
        <w:tabs>
          <w:tab w:val="left" w:pos="839"/>
        </w:tabs>
        <w:kinsoku w:val="0"/>
        <w:overflowPunct w:val="0"/>
        <w:rPr>
          <w:b w:val="0"/>
          <w:bCs w:val="0"/>
          <w:color w:val="000000"/>
        </w:rPr>
      </w:pPr>
      <w:r>
        <w:rPr>
          <w:color w:val="201E1F"/>
        </w:rPr>
        <w:t>工资和福利</w:t>
      </w:r>
    </w:p>
    <w:p w:rsidR="00932E9E" w:rsidRDefault="00932E9E">
      <w:pPr>
        <w:pStyle w:val="BodyText"/>
        <w:kinsoku w:val="0"/>
        <w:overflowPunct w:val="0"/>
        <w:spacing w:before="2"/>
        <w:ind w:left="0"/>
        <w:rPr>
          <w:b/>
          <w:bCs/>
        </w:rPr>
      </w:pPr>
    </w:p>
    <w:p w:rsidR="00932E9E" w:rsidRDefault="00932E9E">
      <w:pPr>
        <w:pStyle w:val="BodyText"/>
        <w:kinsoku w:val="0"/>
        <w:overflowPunct w:val="0"/>
        <w:ind w:right="121"/>
        <w:jc w:val="both"/>
        <w:rPr>
          <w:color w:val="000000"/>
        </w:rPr>
      </w:pPr>
      <w:r>
        <w:rPr>
          <w:color w:val="201E1F"/>
        </w:rPr>
        <w:t>供应商向所有工作人员支付的工资应至少达到相关法律法规规定的最低工资水平，并提供所有法律规定的福利。 此外还应按照相关法律法规规定的标准支付加班费。</w:t>
      </w:r>
    </w:p>
    <w:p w:rsidR="00932E9E" w:rsidRDefault="00932E9E">
      <w:pPr>
        <w:pStyle w:val="BodyText"/>
        <w:kinsoku w:val="0"/>
        <w:overflowPunct w:val="0"/>
        <w:spacing w:before="1"/>
        <w:ind w:left="0"/>
      </w:pPr>
    </w:p>
    <w:p w:rsidR="00932E9E" w:rsidRDefault="00932E9E">
      <w:pPr>
        <w:pStyle w:val="Heading1"/>
        <w:numPr>
          <w:ilvl w:val="0"/>
          <w:numId w:val="4"/>
        </w:numPr>
        <w:tabs>
          <w:tab w:val="left" w:pos="839"/>
        </w:tabs>
        <w:kinsoku w:val="0"/>
        <w:overflowPunct w:val="0"/>
        <w:rPr>
          <w:b w:val="0"/>
          <w:bCs w:val="0"/>
          <w:color w:val="000000"/>
        </w:rPr>
      </w:pPr>
      <w:r>
        <w:rPr>
          <w:color w:val="201E1F"/>
        </w:rPr>
        <w:t>分包商合规</w:t>
      </w:r>
    </w:p>
    <w:p w:rsidR="00932E9E" w:rsidRDefault="00932E9E">
      <w:pPr>
        <w:pStyle w:val="BodyText"/>
        <w:kinsoku w:val="0"/>
        <w:overflowPunct w:val="0"/>
        <w:spacing w:before="11"/>
        <w:ind w:left="0"/>
        <w:rPr>
          <w:b/>
          <w:bCs/>
          <w:sz w:val="23"/>
          <w:szCs w:val="23"/>
        </w:rPr>
      </w:pPr>
    </w:p>
    <w:p w:rsidR="00932E9E" w:rsidRDefault="00932E9E">
      <w:pPr>
        <w:pStyle w:val="BodyText"/>
        <w:kinsoku w:val="0"/>
        <w:overflowPunct w:val="0"/>
        <w:jc w:val="both"/>
        <w:rPr>
          <w:spacing w:val="-1"/>
        </w:rPr>
      </w:pPr>
      <w:r>
        <w:t>供应商同意，对于由分包商派驻到供应商场所工作的任何工作人员，</w:t>
      </w:r>
    </w:p>
    <w:p w:rsidR="00932E9E" w:rsidRDefault="00932E9E">
      <w:pPr>
        <w:pStyle w:val="BodyText"/>
        <w:kinsoku w:val="0"/>
        <w:overflowPunct w:val="0"/>
        <w:jc w:val="both"/>
      </w:pPr>
      <w:r>
        <w:t>将按照本供应商守则所述准则给予对待。</w:t>
      </w:r>
    </w:p>
    <w:p w:rsidR="00932E9E" w:rsidRDefault="00932E9E">
      <w:pPr>
        <w:pStyle w:val="BodyText"/>
        <w:kinsoku w:val="0"/>
        <w:overflowPunct w:val="0"/>
        <w:spacing w:before="2"/>
        <w:ind w:left="0"/>
      </w:pPr>
    </w:p>
    <w:p w:rsidR="00932E9E" w:rsidRPr="006D5475" w:rsidRDefault="00932E9E">
      <w:pPr>
        <w:pStyle w:val="Heading1"/>
        <w:numPr>
          <w:ilvl w:val="0"/>
          <w:numId w:val="3"/>
        </w:numPr>
        <w:tabs>
          <w:tab w:val="left" w:pos="839"/>
        </w:tabs>
        <w:kinsoku w:val="0"/>
        <w:overflowPunct w:val="0"/>
        <w:ind w:hanging="550"/>
        <w:rPr>
          <w:b w:val="0"/>
          <w:bCs w:val="0"/>
          <w:u w:val="single"/>
        </w:rPr>
      </w:pPr>
      <w:r>
        <w:rPr>
          <w:u w:val="single"/>
        </w:rPr>
        <w:t>健康和安全</w:t>
      </w:r>
    </w:p>
    <w:p w:rsidR="00932E9E" w:rsidRDefault="00932E9E">
      <w:pPr>
        <w:pStyle w:val="BodyText"/>
        <w:kinsoku w:val="0"/>
        <w:overflowPunct w:val="0"/>
        <w:spacing w:before="11"/>
        <w:ind w:left="0"/>
        <w:rPr>
          <w:b/>
          <w:bCs/>
          <w:sz w:val="23"/>
          <w:szCs w:val="23"/>
        </w:rPr>
      </w:pPr>
    </w:p>
    <w:p w:rsidR="00932E9E" w:rsidRDefault="00932E9E">
      <w:pPr>
        <w:pStyle w:val="BodyText"/>
        <w:kinsoku w:val="0"/>
        <w:overflowPunct w:val="0"/>
        <w:ind w:right="119"/>
        <w:jc w:val="both"/>
        <w:rPr>
          <w:spacing w:val="-1"/>
        </w:rPr>
      </w:pPr>
      <w:r>
        <w:t>供应商应遵守所有适用的健康、安全和环境法律法规。 供应商应通过健康与安全计划解决以下问题：</w:t>
      </w:r>
    </w:p>
    <w:p w:rsidR="00932E9E" w:rsidRDefault="00932E9E">
      <w:pPr>
        <w:pStyle w:val="BodyText"/>
        <w:kinsoku w:val="0"/>
        <w:overflowPunct w:val="0"/>
        <w:ind w:left="0"/>
      </w:pPr>
    </w:p>
    <w:p w:rsidR="00932E9E" w:rsidRDefault="00932E9E">
      <w:pPr>
        <w:pStyle w:val="Heading1"/>
        <w:numPr>
          <w:ilvl w:val="1"/>
          <w:numId w:val="3"/>
        </w:numPr>
        <w:tabs>
          <w:tab w:val="left" w:pos="839"/>
        </w:tabs>
        <w:kinsoku w:val="0"/>
        <w:overflowPunct w:val="0"/>
        <w:rPr>
          <w:b w:val="0"/>
          <w:bCs w:val="0"/>
        </w:rPr>
      </w:pPr>
      <w:r>
        <w:t>工作安全</w:t>
      </w:r>
    </w:p>
    <w:p w:rsidR="00932E9E" w:rsidRDefault="00932E9E">
      <w:pPr>
        <w:pStyle w:val="BodyText"/>
        <w:kinsoku w:val="0"/>
        <w:overflowPunct w:val="0"/>
        <w:spacing w:before="1"/>
        <w:ind w:left="0"/>
        <w:rPr>
          <w:b/>
          <w:bCs/>
        </w:rPr>
      </w:pPr>
    </w:p>
    <w:p w:rsidR="00932E9E" w:rsidRDefault="00932E9E">
      <w:pPr>
        <w:pStyle w:val="BodyText"/>
        <w:kinsoku w:val="0"/>
        <w:overflowPunct w:val="0"/>
        <w:ind w:right="111"/>
        <w:jc w:val="both"/>
        <w:rPr>
          <w:spacing w:val="-1"/>
        </w:rPr>
      </w:pPr>
      <w:r>
        <w:t>供应商应致力于保证员工的安全和健康，确保工作人员在开展任何工作活动之前接受规定的培训。 供应商应制定或同意一份书面安全和健康计划。 供应商有责任依照所有适用标准和/或法规，通过适当的途径，</w:t>
      </w:r>
      <w:r>
        <w:rPr>
          <w:i/>
          <w:iCs/>
        </w:rPr>
        <w:t>例如</w:t>
      </w:r>
      <w:r>
        <w:t>，通过设计、工程和管理控制措施、预防性维护、培训、工作规程以及适当的个人防护装备，解决和控制工作人员所接触到的潜在安全隐患。</w:t>
      </w:r>
    </w:p>
    <w:p w:rsidR="00932E9E" w:rsidRDefault="00932E9E">
      <w:pPr>
        <w:pStyle w:val="BodyText"/>
        <w:kinsoku w:val="0"/>
        <w:overflowPunct w:val="0"/>
        <w:spacing w:before="11"/>
        <w:ind w:left="0"/>
        <w:rPr>
          <w:sz w:val="23"/>
          <w:szCs w:val="23"/>
        </w:rPr>
      </w:pPr>
    </w:p>
    <w:p w:rsidR="00932E9E" w:rsidRDefault="00932E9E">
      <w:pPr>
        <w:pStyle w:val="Heading1"/>
        <w:numPr>
          <w:ilvl w:val="1"/>
          <w:numId w:val="3"/>
        </w:numPr>
        <w:tabs>
          <w:tab w:val="left" w:pos="897"/>
        </w:tabs>
        <w:kinsoku w:val="0"/>
        <w:overflowPunct w:val="0"/>
        <w:ind w:left="896" w:hanging="418"/>
        <w:rPr>
          <w:b w:val="0"/>
          <w:bCs w:val="0"/>
        </w:rPr>
      </w:pPr>
      <w:r>
        <w:t>应急准备</w:t>
      </w:r>
    </w:p>
    <w:p w:rsidR="00932E9E" w:rsidRDefault="00932E9E">
      <w:pPr>
        <w:pStyle w:val="BodyText"/>
        <w:kinsoku w:val="0"/>
        <w:overflowPunct w:val="0"/>
        <w:spacing w:before="1"/>
        <w:ind w:left="0"/>
        <w:rPr>
          <w:b/>
          <w:bCs/>
        </w:rPr>
      </w:pPr>
    </w:p>
    <w:p w:rsidR="00932E9E" w:rsidRDefault="00932E9E">
      <w:pPr>
        <w:pStyle w:val="BodyText"/>
        <w:kinsoku w:val="0"/>
        <w:overflowPunct w:val="0"/>
        <w:ind w:right="110"/>
        <w:jc w:val="both"/>
      </w:pPr>
      <w:r>
        <w:t>供应商应按照所有适用的法律和法规，制定下列相关应急计划和响应规程：   应急准备、报告和通知；</w:t>
      </w:r>
    </w:p>
    <w:p w:rsidR="00932E9E" w:rsidRDefault="00932E9E">
      <w:pPr>
        <w:pStyle w:val="BodyText"/>
        <w:kinsoku w:val="0"/>
        <w:overflowPunct w:val="0"/>
        <w:ind w:right="110"/>
        <w:jc w:val="both"/>
        <w:sectPr w:rsidR="00932E9E">
          <w:pgSz w:w="12240" w:h="15840"/>
          <w:pgMar w:top="840" w:right="760" w:bottom="280" w:left="760" w:header="720" w:footer="720" w:gutter="0"/>
          <w:cols w:space="720" w:equalWidth="0">
            <w:col w:w="10720"/>
          </w:cols>
          <w:noEndnote/>
        </w:sectPr>
      </w:pPr>
    </w:p>
    <w:p w:rsidR="00932E9E" w:rsidRDefault="00932E9E">
      <w:pPr>
        <w:pStyle w:val="BodyText"/>
        <w:kinsoku w:val="0"/>
        <w:overflowPunct w:val="0"/>
        <w:spacing w:before="35"/>
        <w:jc w:val="both"/>
        <w:rPr>
          <w:spacing w:val="-1"/>
        </w:rPr>
      </w:pPr>
      <w:r>
        <w:t>疏散规程、培训和演练；适当的隐患排查和控制</w:t>
      </w:r>
    </w:p>
    <w:p w:rsidR="00932E9E" w:rsidRDefault="00932E9E">
      <w:pPr>
        <w:pStyle w:val="BodyText"/>
        <w:kinsoku w:val="0"/>
        <w:overflowPunct w:val="0"/>
        <w:jc w:val="both"/>
        <w:rPr>
          <w:spacing w:val="-1"/>
        </w:rPr>
      </w:pPr>
      <w:r>
        <w:t>设备；供应商场所的适当撤离设施。</w:t>
      </w:r>
    </w:p>
    <w:p w:rsidR="00932E9E" w:rsidRDefault="00932E9E">
      <w:pPr>
        <w:pStyle w:val="BodyText"/>
        <w:kinsoku w:val="0"/>
        <w:overflowPunct w:val="0"/>
        <w:ind w:left="0"/>
      </w:pPr>
    </w:p>
    <w:p w:rsidR="00932E9E" w:rsidRDefault="00932E9E">
      <w:pPr>
        <w:pStyle w:val="Heading1"/>
        <w:numPr>
          <w:ilvl w:val="1"/>
          <w:numId w:val="3"/>
        </w:numPr>
        <w:tabs>
          <w:tab w:val="left" w:pos="839"/>
        </w:tabs>
        <w:kinsoku w:val="0"/>
        <w:overflowPunct w:val="0"/>
        <w:rPr>
          <w:b w:val="0"/>
          <w:bCs w:val="0"/>
        </w:rPr>
      </w:pPr>
      <w:r>
        <w:t>工伤和疾病</w:t>
      </w:r>
    </w:p>
    <w:p w:rsidR="00932E9E" w:rsidRDefault="00932E9E">
      <w:pPr>
        <w:pStyle w:val="BodyText"/>
        <w:kinsoku w:val="0"/>
        <w:overflowPunct w:val="0"/>
        <w:spacing w:before="1"/>
        <w:ind w:left="0"/>
        <w:rPr>
          <w:b/>
          <w:bCs/>
        </w:rPr>
      </w:pPr>
    </w:p>
    <w:p w:rsidR="00932E9E" w:rsidRDefault="00932E9E">
      <w:pPr>
        <w:pStyle w:val="BodyText"/>
        <w:kinsoku w:val="0"/>
        <w:overflowPunct w:val="0"/>
        <w:ind w:right="114"/>
        <w:jc w:val="both"/>
      </w:pPr>
      <w:r>
        <w:t>供应商应制定规程和系统，管理、追踪和报告工伤和疾病，以及工作人员接触化学、生物和物理药剂的情况。 这些规程和系统应满足所有适用的法律和法规要求，根据适用情况，包括关于 (i) 鼓励工作人员报告，(ii) 对工伤和疾病事件进行分类和记录，(iii) 调查事件，以及 (iv) 实施纠正措施的规定。</w:t>
      </w:r>
    </w:p>
    <w:p w:rsidR="00932E9E" w:rsidRDefault="00932E9E">
      <w:pPr>
        <w:pStyle w:val="BodyText"/>
        <w:kinsoku w:val="0"/>
        <w:overflowPunct w:val="0"/>
        <w:ind w:left="0"/>
      </w:pPr>
    </w:p>
    <w:p w:rsidR="00932E9E" w:rsidRDefault="00932E9E">
      <w:pPr>
        <w:pStyle w:val="BodyText"/>
        <w:kinsoku w:val="0"/>
        <w:overflowPunct w:val="0"/>
        <w:spacing w:before="11"/>
        <w:ind w:left="0"/>
        <w:rPr>
          <w:sz w:val="23"/>
          <w:szCs w:val="23"/>
        </w:rPr>
      </w:pPr>
    </w:p>
    <w:p w:rsidR="00932E9E" w:rsidRDefault="00932E9E">
      <w:pPr>
        <w:pStyle w:val="Heading1"/>
        <w:numPr>
          <w:ilvl w:val="1"/>
          <w:numId w:val="3"/>
        </w:numPr>
        <w:tabs>
          <w:tab w:val="left" w:pos="839"/>
        </w:tabs>
        <w:kinsoku w:val="0"/>
        <w:overflowPunct w:val="0"/>
        <w:rPr>
          <w:b w:val="0"/>
          <w:bCs w:val="0"/>
        </w:rPr>
      </w:pPr>
      <w:r>
        <w:t>卫生、膳食和住宿</w:t>
      </w:r>
    </w:p>
    <w:p w:rsidR="00932E9E" w:rsidRDefault="00932E9E">
      <w:pPr>
        <w:pStyle w:val="BodyText"/>
        <w:kinsoku w:val="0"/>
        <w:overflowPunct w:val="0"/>
        <w:spacing w:before="2"/>
        <w:ind w:left="0"/>
        <w:rPr>
          <w:b/>
          <w:bCs/>
        </w:rPr>
      </w:pPr>
    </w:p>
    <w:p w:rsidR="00932E9E" w:rsidRDefault="00932E9E">
      <w:pPr>
        <w:pStyle w:val="BodyText"/>
        <w:kinsoku w:val="0"/>
        <w:overflowPunct w:val="0"/>
        <w:ind w:right="112"/>
        <w:jc w:val="both"/>
        <w:rPr>
          <w:spacing w:val="-1"/>
        </w:rPr>
      </w:pPr>
      <w:r>
        <w:t>供应商应向工作人员提供干净清洁的卫生间设施和饮用水，如果提供食物制备和储放设施，这些设施也应干净卫生。 由供应商或第三方代理提供的工作人员宿舍应干净、安全，提供充分的紧急疏散出口、充分的采暖和通风设施、合理的个人空间以及合理的出入权限。</w:t>
      </w:r>
    </w:p>
    <w:p w:rsidR="00932E9E" w:rsidRDefault="00932E9E">
      <w:pPr>
        <w:pStyle w:val="BodyText"/>
        <w:kinsoku w:val="0"/>
        <w:overflowPunct w:val="0"/>
        <w:ind w:left="0"/>
      </w:pPr>
    </w:p>
    <w:p w:rsidR="00932E9E" w:rsidRDefault="00932E9E">
      <w:pPr>
        <w:pStyle w:val="BodyText"/>
        <w:kinsoku w:val="0"/>
        <w:overflowPunct w:val="0"/>
        <w:spacing w:before="11"/>
        <w:ind w:left="0"/>
        <w:rPr>
          <w:sz w:val="23"/>
          <w:szCs w:val="23"/>
        </w:rPr>
      </w:pPr>
    </w:p>
    <w:p w:rsidR="00932E9E" w:rsidRDefault="00932E9E">
      <w:pPr>
        <w:pStyle w:val="Heading1"/>
        <w:numPr>
          <w:ilvl w:val="0"/>
          <w:numId w:val="3"/>
        </w:numPr>
        <w:tabs>
          <w:tab w:val="left" w:pos="839"/>
        </w:tabs>
        <w:kinsoku w:val="0"/>
        <w:overflowPunct w:val="0"/>
        <w:ind w:hanging="619"/>
        <w:rPr>
          <w:b w:val="0"/>
          <w:bCs w:val="0"/>
        </w:rPr>
      </w:pPr>
      <w:r>
        <w:rPr>
          <w:u w:val="single"/>
        </w:rPr>
        <w:t>环境</w:t>
      </w:r>
    </w:p>
    <w:p w:rsidR="00932E9E" w:rsidRDefault="00932E9E">
      <w:pPr>
        <w:pStyle w:val="BodyText"/>
        <w:kinsoku w:val="0"/>
        <w:overflowPunct w:val="0"/>
        <w:spacing w:before="11"/>
        <w:ind w:left="0"/>
        <w:rPr>
          <w:b/>
          <w:bCs/>
          <w:sz w:val="18"/>
          <w:szCs w:val="18"/>
        </w:rPr>
      </w:pPr>
    </w:p>
    <w:p w:rsidR="00932E9E" w:rsidRDefault="00932E9E">
      <w:pPr>
        <w:pStyle w:val="BodyText"/>
        <w:kinsoku w:val="0"/>
        <w:overflowPunct w:val="0"/>
        <w:spacing w:before="61"/>
        <w:ind w:right="122"/>
        <w:rPr>
          <w:spacing w:val="-1"/>
        </w:rPr>
      </w:pPr>
      <w:r>
        <w:t>供应商在开展经营活动时应遵守所有适用的健康、安全和环境法律法规。 例如，供应商应：</w:t>
      </w:r>
    </w:p>
    <w:p w:rsidR="00932E9E" w:rsidRDefault="00932E9E">
      <w:pPr>
        <w:pStyle w:val="BodyText"/>
        <w:kinsoku w:val="0"/>
        <w:overflowPunct w:val="0"/>
        <w:spacing w:before="11"/>
        <w:ind w:left="0"/>
        <w:rPr>
          <w:sz w:val="23"/>
          <w:szCs w:val="23"/>
        </w:rPr>
      </w:pPr>
    </w:p>
    <w:p w:rsidR="00932E9E" w:rsidRDefault="00932E9E">
      <w:pPr>
        <w:pStyle w:val="BodyText"/>
        <w:numPr>
          <w:ilvl w:val="0"/>
          <w:numId w:val="2"/>
        </w:numPr>
        <w:tabs>
          <w:tab w:val="left" w:pos="375"/>
        </w:tabs>
        <w:kinsoku w:val="0"/>
        <w:overflowPunct w:val="0"/>
        <w:ind w:firstLine="0"/>
        <w:rPr>
          <w:spacing w:val="-1"/>
        </w:rPr>
      </w:pPr>
      <w:r>
        <w:t>获得并维护所有规定的环境许可证和注册；</w:t>
      </w:r>
    </w:p>
    <w:p w:rsidR="00932E9E" w:rsidRDefault="00932E9E">
      <w:pPr>
        <w:pStyle w:val="BodyText"/>
        <w:numPr>
          <w:ilvl w:val="0"/>
          <w:numId w:val="2"/>
        </w:numPr>
        <w:tabs>
          <w:tab w:val="left" w:pos="375"/>
        </w:tabs>
        <w:kinsoku w:val="0"/>
        <w:overflowPunct w:val="0"/>
        <w:ind w:left="374" w:hanging="256"/>
        <w:rPr>
          <w:spacing w:val="-1"/>
        </w:rPr>
      </w:pPr>
      <w:r>
        <w:t>从源头减少、控制和/或消除污水、废弃物和污染；</w:t>
      </w:r>
    </w:p>
    <w:p w:rsidR="00932E9E" w:rsidRDefault="00932E9E">
      <w:pPr>
        <w:pStyle w:val="BodyText"/>
        <w:numPr>
          <w:ilvl w:val="0"/>
          <w:numId w:val="2"/>
        </w:numPr>
        <w:tabs>
          <w:tab w:val="left" w:pos="378"/>
        </w:tabs>
        <w:kinsoku w:val="0"/>
        <w:overflowPunct w:val="0"/>
        <w:ind w:right="122" w:firstLine="0"/>
        <w:rPr>
          <w:spacing w:val="-1"/>
        </w:rPr>
      </w:pPr>
      <w:r>
        <w:t>减少、控制和/或消除排放到大气中的挥发性化学物质、腐蚀物、颗粒物、气溶胶和燃烧产物；</w:t>
      </w:r>
    </w:p>
    <w:p w:rsidR="00932E9E" w:rsidRDefault="00932E9E">
      <w:pPr>
        <w:pStyle w:val="BodyText"/>
        <w:numPr>
          <w:ilvl w:val="0"/>
          <w:numId w:val="2"/>
        </w:numPr>
        <w:tabs>
          <w:tab w:val="left" w:pos="375"/>
        </w:tabs>
        <w:kinsoku w:val="0"/>
        <w:overflowPunct w:val="0"/>
        <w:spacing w:line="287" w:lineRule="exact"/>
        <w:ind w:left="374" w:hanging="256"/>
        <w:rPr>
          <w:spacing w:val="-1"/>
        </w:rPr>
      </w:pPr>
      <w:r>
        <w:t>遵循适用的标签和警告要求；以及</w:t>
      </w:r>
    </w:p>
    <w:p w:rsidR="00932E9E" w:rsidRDefault="00932E9E">
      <w:pPr>
        <w:pStyle w:val="BodyText"/>
        <w:numPr>
          <w:ilvl w:val="0"/>
          <w:numId w:val="2"/>
        </w:numPr>
        <w:tabs>
          <w:tab w:val="left" w:pos="375"/>
        </w:tabs>
        <w:kinsoku w:val="0"/>
        <w:overflowPunct w:val="0"/>
        <w:spacing w:line="287" w:lineRule="exact"/>
        <w:ind w:left="374" w:hanging="256"/>
        <w:rPr>
          <w:spacing w:val="-1"/>
        </w:rPr>
      </w:pPr>
      <w:r>
        <w:t>依法标记、管理、存放、移动和处理危险物质。</w:t>
      </w:r>
    </w:p>
    <w:p w:rsidR="00932E9E" w:rsidRDefault="00932E9E">
      <w:pPr>
        <w:pStyle w:val="BodyText"/>
        <w:kinsoku w:val="0"/>
        <w:overflowPunct w:val="0"/>
        <w:spacing w:before="1"/>
        <w:ind w:left="0"/>
      </w:pPr>
    </w:p>
    <w:p w:rsidR="00932E9E" w:rsidRDefault="00932E9E">
      <w:pPr>
        <w:pStyle w:val="Heading1"/>
        <w:numPr>
          <w:ilvl w:val="0"/>
          <w:numId w:val="3"/>
        </w:numPr>
        <w:tabs>
          <w:tab w:val="left" w:pos="839"/>
        </w:tabs>
        <w:kinsoku w:val="0"/>
        <w:overflowPunct w:val="0"/>
        <w:ind w:hanging="624"/>
        <w:rPr>
          <w:b w:val="0"/>
          <w:bCs w:val="0"/>
          <w:color w:val="000000"/>
        </w:rPr>
      </w:pPr>
      <w:r>
        <w:rPr>
          <w:color w:val="201E1F"/>
          <w:u w:val="single"/>
        </w:rPr>
        <w:t>诚信与合规</w:t>
      </w:r>
    </w:p>
    <w:p w:rsidR="00932E9E" w:rsidRDefault="00932E9E">
      <w:pPr>
        <w:pStyle w:val="BodyText"/>
        <w:kinsoku w:val="0"/>
        <w:overflowPunct w:val="0"/>
        <w:spacing w:before="9"/>
        <w:ind w:left="0"/>
        <w:rPr>
          <w:b/>
          <w:bCs/>
          <w:sz w:val="18"/>
          <w:szCs w:val="18"/>
        </w:rPr>
      </w:pPr>
    </w:p>
    <w:p w:rsidR="00932E9E" w:rsidRDefault="00932E9E" w:rsidP="006D5475">
      <w:pPr>
        <w:pStyle w:val="BodyText"/>
        <w:numPr>
          <w:ilvl w:val="1"/>
          <w:numId w:val="3"/>
        </w:numPr>
        <w:tabs>
          <w:tab w:val="left" w:pos="839"/>
        </w:tabs>
        <w:kinsoku w:val="0"/>
        <w:overflowPunct w:val="0"/>
        <w:spacing w:before="61"/>
        <w:rPr>
          <w:color w:val="000000"/>
        </w:rPr>
      </w:pPr>
      <w:r>
        <w:rPr>
          <w:b/>
          <w:bCs/>
          <w:color w:val="201E1F"/>
        </w:rPr>
        <w:t>账簿记录</w:t>
      </w:r>
    </w:p>
    <w:p w:rsidR="00080DC9" w:rsidRDefault="00080DC9">
      <w:pPr>
        <w:pStyle w:val="BodyText"/>
        <w:kinsoku w:val="0"/>
        <w:overflowPunct w:val="0"/>
        <w:spacing w:before="1"/>
        <w:ind w:right="115"/>
        <w:jc w:val="both"/>
        <w:rPr>
          <w:spacing w:val="-1"/>
        </w:rPr>
      </w:pPr>
    </w:p>
    <w:p w:rsidR="00932E9E" w:rsidRDefault="00932E9E">
      <w:pPr>
        <w:pStyle w:val="BodyText"/>
        <w:kinsoku w:val="0"/>
        <w:overflowPunct w:val="0"/>
        <w:spacing w:before="1"/>
        <w:ind w:right="115"/>
        <w:jc w:val="both"/>
        <w:rPr>
          <w:spacing w:val="-1"/>
        </w:rPr>
      </w:pPr>
      <w:r>
        <w:t>供应商应创建和维护准确的账簿记录，不得更改任何记录条目，以隐瞒或谎报该条目所代表的相关交易。 作为商业交易的证据而建立或获取的任何形式的记录必须完整、准确地呈述被记录的交易或事件。 当记录无需再用于当前业务时，应根据适用的保留要求继续保留。</w:t>
      </w:r>
    </w:p>
    <w:p w:rsidR="00080DC9" w:rsidRDefault="00080DC9">
      <w:pPr>
        <w:pStyle w:val="BodyText"/>
        <w:kinsoku w:val="0"/>
        <w:overflowPunct w:val="0"/>
        <w:spacing w:before="1"/>
        <w:ind w:right="115"/>
        <w:jc w:val="both"/>
        <w:rPr>
          <w:spacing w:val="-1"/>
        </w:rPr>
      </w:pPr>
    </w:p>
    <w:p w:rsidR="00080DC9" w:rsidRDefault="00080DC9">
      <w:pPr>
        <w:pStyle w:val="BodyText"/>
        <w:kinsoku w:val="0"/>
        <w:overflowPunct w:val="0"/>
        <w:spacing w:before="1"/>
        <w:ind w:right="115"/>
        <w:jc w:val="both"/>
        <w:rPr>
          <w:spacing w:val="-1"/>
        </w:rPr>
      </w:pPr>
    </w:p>
    <w:p w:rsidR="00DB31A8" w:rsidRDefault="00DB31A8">
      <w:pPr>
        <w:pStyle w:val="BodyText"/>
        <w:kinsoku w:val="0"/>
        <w:overflowPunct w:val="0"/>
        <w:spacing w:before="1"/>
        <w:ind w:right="115"/>
        <w:jc w:val="both"/>
        <w:rPr>
          <w:spacing w:val="-1"/>
        </w:rPr>
      </w:pPr>
    </w:p>
    <w:p w:rsidR="00080DC9" w:rsidRDefault="00080DC9">
      <w:pPr>
        <w:pStyle w:val="BodyText"/>
        <w:kinsoku w:val="0"/>
        <w:overflowPunct w:val="0"/>
        <w:spacing w:before="1"/>
        <w:ind w:right="115"/>
        <w:jc w:val="both"/>
        <w:rPr>
          <w:spacing w:val="-1"/>
        </w:rPr>
      </w:pPr>
    </w:p>
    <w:p w:rsidR="00080DC9" w:rsidRDefault="00080DC9">
      <w:pPr>
        <w:pStyle w:val="BodyText"/>
        <w:kinsoku w:val="0"/>
        <w:overflowPunct w:val="0"/>
        <w:spacing w:before="1"/>
        <w:ind w:right="115"/>
        <w:jc w:val="both"/>
        <w:rPr>
          <w:spacing w:val="-1"/>
        </w:rPr>
      </w:pPr>
    </w:p>
    <w:p w:rsidR="00440B8E" w:rsidRDefault="00440B8E">
      <w:pPr>
        <w:pStyle w:val="BodyText"/>
        <w:kinsoku w:val="0"/>
        <w:overflowPunct w:val="0"/>
        <w:spacing w:before="1"/>
        <w:ind w:right="115"/>
        <w:jc w:val="both"/>
        <w:rPr>
          <w:spacing w:val="-1"/>
        </w:rPr>
      </w:pPr>
    </w:p>
    <w:p w:rsidR="00080DC9" w:rsidRDefault="00080DC9">
      <w:pPr>
        <w:pStyle w:val="BodyText"/>
        <w:kinsoku w:val="0"/>
        <w:overflowPunct w:val="0"/>
        <w:spacing w:before="1"/>
        <w:ind w:right="115"/>
        <w:jc w:val="both"/>
        <w:rPr>
          <w:spacing w:val="-1"/>
        </w:rPr>
      </w:pPr>
    </w:p>
    <w:p w:rsidR="006D5475" w:rsidRDefault="006D5475" w:rsidP="006D5475">
      <w:pPr>
        <w:pStyle w:val="Heading1"/>
        <w:tabs>
          <w:tab w:val="left" w:pos="385"/>
        </w:tabs>
        <w:kinsoku w:val="0"/>
        <w:overflowPunct w:val="0"/>
        <w:ind w:left="0" w:firstLine="0"/>
        <w:jc w:val="both"/>
        <w:rPr>
          <w:b w:val="0"/>
          <w:bCs w:val="0"/>
          <w:spacing w:val="-1"/>
        </w:rPr>
      </w:pPr>
    </w:p>
    <w:p w:rsidR="00932E9E" w:rsidRDefault="00932E9E" w:rsidP="006D5475">
      <w:pPr>
        <w:pStyle w:val="Heading1"/>
        <w:numPr>
          <w:ilvl w:val="1"/>
          <w:numId w:val="3"/>
        </w:numPr>
        <w:tabs>
          <w:tab w:val="left" w:pos="385"/>
        </w:tabs>
        <w:kinsoku w:val="0"/>
        <w:overflowPunct w:val="0"/>
        <w:jc w:val="both"/>
        <w:rPr>
          <w:b w:val="0"/>
          <w:bCs w:val="0"/>
          <w:color w:val="000000"/>
        </w:rPr>
      </w:pPr>
      <w:r>
        <w:rPr>
          <w:color w:val="201E1F"/>
        </w:rPr>
        <w:t>商业诚信</w:t>
      </w:r>
    </w:p>
    <w:p w:rsidR="00080DC9" w:rsidRDefault="00080DC9">
      <w:pPr>
        <w:pStyle w:val="BodyText"/>
        <w:kinsoku w:val="0"/>
        <w:overflowPunct w:val="0"/>
        <w:spacing w:before="35"/>
        <w:ind w:right="116"/>
        <w:jc w:val="both"/>
        <w:rPr>
          <w:spacing w:val="-1"/>
        </w:rPr>
      </w:pPr>
    </w:p>
    <w:p w:rsidR="00932E9E" w:rsidRDefault="00932E9E">
      <w:pPr>
        <w:pStyle w:val="BodyText"/>
        <w:kinsoku w:val="0"/>
        <w:overflowPunct w:val="0"/>
        <w:spacing w:before="35"/>
        <w:ind w:right="116"/>
        <w:jc w:val="both"/>
      </w:pPr>
      <w:r>
        <w:t>供应商应遵守所有适用的司法管辖区的所有法律和法规，包括所有适用的反腐败法律。 供应商不得索要、给予或收受商业贿赂或非法回扣，且必须注意避免涉嫌此类不正当行为。 供应商在开展经营活动时，不得参与腐败行为，也不得通过不公平的交易行为利用任何人。 这意味着供应商不得对其产品或服务的质量、特性或可用性进行任何不实陈述。 供应商还同意在公司账目记录中保持诚实、透明和准确。</w:t>
      </w:r>
    </w:p>
    <w:p w:rsidR="00932E9E" w:rsidRDefault="00932E9E">
      <w:pPr>
        <w:pStyle w:val="BodyText"/>
        <w:kinsoku w:val="0"/>
        <w:overflowPunct w:val="0"/>
        <w:spacing w:before="11"/>
        <w:ind w:left="0"/>
        <w:rPr>
          <w:sz w:val="23"/>
          <w:szCs w:val="23"/>
        </w:rPr>
      </w:pPr>
    </w:p>
    <w:p w:rsidR="00932E9E" w:rsidRDefault="00932E9E" w:rsidP="006D5475">
      <w:pPr>
        <w:pStyle w:val="Heading1"/>
        <w:numPr>
          <w:ilvl w:val="1"/>
          <w:numId w:val="3"/>
        </w:numPr>
        <w:tabs>
          <w:tab w:val="left" w:pos="385"/>
        </w:tabs>
        <w:kinsoku w:val="0"/>
        <w:overflowPunct w:val="0"/>
        <w:jc w:val="both"/>
        <w:rPr>
          <w:b w:val="0"/>
          <w:bCs w:val="0"/>
          <w:color w:val="000000"/>
        </w:rPr>
      </w:pPr>
      <w:r>
        <w:rPr>
          <w:color w:val="201E1F"/>
        </w:rPr>
        <w:t>保护知识产权</w:t>
      </w:r>
    </w:p>
    <w:p w:rsidR="00932E9E" w:rsidRDefault="00932E9E">
      <w:pPr>
        <w:pStyle w:val="BodyText"/>
        <w:kinsoku w:val="0"/>
        <w:overflowPunct w:val="0"/>
        <w:spacing w:before="1"/>
        <w:ind w:left="0"/>
        <w:rPr>
          <w:b/>
          <w:bCs/>
        </w:rPr>
      </w:pPr>
    </w:p>
    <w:p w:rsidR="00932E9E" w:rsidRDefault="00932E9E">
      <w:pPr>
        <w:pStyle w:val="BodyText"/>
        <w:kinsoku w:val="0"/>
        <w:overflowPunct w:val="0"/>
        <w:ind w:right="121"/>
        <w:jc w:val="both"/>
        <w:rPr>
          <w:color w:val="000000"/>
        </w:rPr>
      </w:pPr>
      <w:r>
        <w:rPr>
          <w:color w:val="201E1F"/>
        </w:rPr>
        <w:t>供应商应尊重知识产权，保护专有信息。 转移技术和知识诀窍时应保护知识产权。</w:t>
      </w:r>
    </w:p>
    <w:p w:rsidR="00932E9E" w:rsidRDefault="00932E9E">
      <w:pPr>
        <w:pStyle w:val="BodyText"/>
        <w:kinsoku w:val="0"/>
        <w:overflowPunct w:val="0"/>
        <w:spacing w:before="2"/>
        <w:ind w:left="0"/>
      </w:pPr>
    </w:p>
    <w:p w:rsidR="00932E9E" w:rsidRDefault="00932E9E" w:rsidP="006D5475">
      <w:pPr>
        <w:pStyle w:val="Heading1"/>
        <w:numPr>
          <w:ilvl w:val="1"/>
          <w:numId w:val="3"/>
        </w:numPr>
        <w:tabs>
          <w:tab w:val="left" w:pos="385"/>
        </w:tabs>
        <w:kinsoku w:val="0"/>
        <w:overflowPunct w:val="0"/>
        <w:jc w:val="both"/>
        <w:rPr>
          <w:b w:val="0"/>
          <w:bCs w:val="0"/>
        </w:rPr>
      </w:pPr>
      <w:r>
        <w:t>滥用物质</w:t>
      </w:r>
    </w:p>
    <w:p w:rsidR="00932E9E" w:rsidRDefault="00932E9E">
      <w:pPr>
        <w:pStyle w:val="BodyText"/>
        <w:kinsoku w:val="0"/>
        <w:overflowPunct w:val="0"/>
        <w:spacing w:before="1"/>
        <w:ind w:left="0"/>
        <w:rPr>
          <w:b/>
          <w:bCs/>
        </w:rPr>
      </w:pPr>
    </w:p>
    <w:p w:rsidR="00932E9E" w:rsidRDefault="00932E9E">
      <w:pPr>
        <w:pStyle w:val="BodyText"/>
        <w:kinsoku w:val="0"/>
        <w:overflowPunct w:val="0"/>
        <w:ind w:right="115"/>
        <w:jc w:val="both"/>
        <w:rPr>
          <w:color w:val="000000"/>
        </w:rPr>
      </w:pPr>
      <w:r>
        <w:rPr>
          <w:color w:val="201E1F"/>
        </w:rPr>
        <w:t>供应商应实施政策和规程，确保员工不在酒精、非法毒品或滥用药物（无论是处方药还是非处方药）的影响下开展工作。 供应商还应实施政策和规程，禁止员工在工作场所或工作期间使用、持有、转让或出售非法毒品、酒精或滥用药物（无论是处方药还是非处方药）。</w:t>
      </w:r>
    </w:p>
    <w:p w:rsidR="00932E9E" w:rsidRDefault="00932E9E">
      <w:pPr>
        <w:pStyle w:val="BodyText"/>
        <w:kinsoku w:val="0"/>
        <w:overflowPunct w:val="0"/>
        <w:spacing w:before="11"/>
        <w:ind w:left="0"/>
        <w:rPr>
          <w:sz w:val="23"/>
          <w:szCs w:val="23"/>
        </w:rPr>
      </w:pPr>
    </w:p>
    <w:p w:rsidR="00932E9E" w:rsidRDefault="00932E9E" w:rsidP="006D5475">
      <w:pPr>
        <w:pStyle w:val="Heading1"/>
        <w:numPr>
          <w:ilvl w:val="1"/>
          <w:numId w:val="3"/>
        </w:numPr>
        <w:tabs>
          <w:tab w:val="left" w:pos="385"/>
        </w:tabs>
        <w:kinsoku w:val="0"/>
        <w:overflowPunct w:val="0"/>
        <w:jc w:val="both"/>
        <w:rPr>
          <w:b w:val="0"/>
          <w:bCs w:val="0"/>
        </w:rPr>
      </w:pPr>
      <w:r>
        <w:t>负责任地采购矿物质</w:t>
      </w:r>
    </w:p>
    <w:p w:rsidR="00932E9E" w:rsidRDefault="00932E9E">
      <w:pPr>
        <w:pStyle w:val="BodyText"/>
        <w:kinsoku w:val="0"/>
        <w:overflowPunct w:val="0"/>
        <w:spacing w:before="1"/>
        <w:ind w:left="0"/>
        <w:rPr>
          <w:b/>
          <w:bCs/>
        </w:rPr>
      </w:pPr>
    </w:p>
    <w:p w:rsidR="00932E9E" w:rsidRDefault="00932E9E" w:rsidP="00080DC9">
      <w:pPr>
        <w:pStyle w:val="BodyText"/>
        <w:kinsoku w:val="0"/>
        <w:overflowPunct w:val="0"/>
        <w:ind w:right="121"/>
        <w:jc w:val="both"/>
        <w:rPr>
          <w:spacing w:val="-1"/>
        </w:rPr>
      </w:pPr>
      <w:r>
        <w:t>供应商应实施政策，合理地确保其生产的产品中所含的钽、锡、钨和黄金不会直接或间接为在刚果民主共和国或周边国家/地区实施严重人权侵犯行为的武装团体提供资金或利益。 供应商应对这些矿物质的来源和保管链开展尽职调查，并且可应请求提供尽职调查措施。</w:t>
      </w:r>
    </w:p>
    <w:p w:rsidR="00932E9E" w:rsidRDefault="00932E9E">
      <w:pPr>
        <w:pStyle w:val="BodyText"/>
        <w:kinsoku w:val="0"/>
        <w:overflowPunct w:val="0"/>
        <w:spacing w:before="11"/>
        <w:ind w:left="0"/>
        <w:rPr>
          <w:sz w:val="23"/>
          <w:szCs w:val="23"/>
        </w:rPr>
      </w:pPr>
    </w:p>
    <w:p w:rsidR="00932E9E" w:rsidRDefault="00932E9E" w:rsidP="006D5475">
      <w:pPr>
        <w:pStyle w:val="Heading1"/>
        <w:numPr>
          <w:ilvl w:val="1"/>
          <w:numId w:val="3"/>
        </w:numPr>
        <w:tabs>
          <w:tab w:val="left" w:pos="385"/>
        </w:tabs>
        <w:kinsoku w:val="0"/>
        <w:overflowPunct w:val="0"/>
        <w:jc w:val="both"/>
        <w:rPr>
          <w:b w:val="0"/>
          <w:bCs w:val="0"/>
        </w:rPr>
      </w:pPr>
      <w:r>
        <w:t>质量</w:t>
      </w:r>
    </w:p>
    <w:p w:rsidR="00932E9E" w:rsidRDefault="00932E9E">
      <w:pPr>
        <w:pStyle w:val="BodyText"/>
        <w:kinsoku w:val="0"/>
        <w:overflowPunct w:val="0"/>
        <w:spacing w:before="1"/>
        <w:ind w:left="0"/>
        <w:rPr>
          <w:b/>
          <w:bCs/>
        </w:rPr>
      </w:pPr>
    </w:p>
    <w:p w:rsidR="00932E9E" w:rsidRDefault="00932E9E">
      <w:pPr>
        <w:pStyle w:val="BodyText"/>
        <w:kinsoku w:val="0"/>
        <w:overflowPunct w:val="0"/>
        <w:ind w:right="112"/>
        <w:jc w:val="both"/>
        <w:rPr>
          <w:spacing w:val="-1"/>
        </w:rPr>
      </w:pPr>
      <w:r>
        <w:t>供应商应尽合理的努力确保其工作产品符合适用的质量标准。 供应商应实施质量保证流程，识别缺陷并实施纠正措施，促进交付达到或超出合同质量要求的产品。</w:t>
      </w:r>
    </w:p>
    <w:p w:rsidR="00932E9E" w:rsidRDefault="00932E9E">
      <w:pPr>
        <w:pStyle w:val="BodyText"/>
        <w:kinsoku w:val="0"/>
        <w:overflowPunct w:val="0"/>
        <w:ind w:right="122"/>
        <w:jc w:val="both"/>
        <w:rPr>
          <w:spacing w:val="-1"/>
        </w:rPr>
      </w:pPr>
      <w:r>
        <w:t>供应商应制定、实施和维护适合于产品的方法和流程，以最大程度地减少在可交付产品中使用伪造零部件和材料的风险。 应实施有效的流程检测伪造零部件和材料，一旦证实存在伪造产品，应通知产品接收者，并从最终交付的产品中予以剔除。</w:t>
      </w:r>
    </w:p>
    <w:p w:rsidR="00932E9E" w:rsidRDefault="00932E9E">
      <w:pPr>
        <w:pStyle w:val="BodyText"/>
        <w:kinsoku w:val="0"/>
        <w:overflowPunct w:val="0"/>
        <w:spacing w:before="2"/>
        <w:ind w:left="0"/>
      </w:pPr>
    </w:p>
    <w:p w:rsidR="00932E9E" w:rsidRDefault="00932E9E" w:rsidP="006D5475">
      <w:pPr>
        <w:pStyle w:val="Heading1"/>
        <w:numPr>
          <w:ilvl w:val="1"/>
          <w:numId w:val="3"/>
        </w:numPr>
        <w:tabs>
          <w:tab w:val="left" w:pos="385"/>
        </w:tabs>
        <w:kinsoku w:val="0"/>
        <w:overflowPunct w:val="0"/>
        <w:jc w:val="both"/>
        <w:rPr>
          <w:b w:val="0"/>
          <w:bCs w:val="0"/>
        </w:rPr>
      </w:pPr>
      <w:r>
        <w:t>隐私和信息安全</w:t>
      </w:r>
    </w:p>
    <w:p w:rsidR="00932E9E" w:rsidRDefault="00932E9E">
      <w:pPr>
        <w:pStyle w:val="BodyText"/>
        <w:kinsoku w:val="0"/>
        <w:overflowPunct w:val="0"/>
        <w:spacing w:before="11"/>
        <w:ind w:left="0"/>
        <w:rPr>
          <w:b/>
          <w:bCs/>
          <w:sz w:val="23"/>
          <w:szCs w:val="23"/>
        </w:rPr>
      </w:pPr>
    </w:p>
    <w:p w:rsidR="00932E9E" w:rsidRDefault="00932E9E">
      <w:pPr>
        <w:pStyle w:val="BodyText"/>
        <w:kinsoku w:val="0"/>
        <w:overflowPunct w:val="0"/>
        <w:ind w:right="114"/>
        <w:jc w:val="both"/>
        <w:rPr>
          <w:spacing w:val="-1"/>
        </w:rPr>
      </w:pPr>
      <w:r>
        <w:t>供应商应致力于对与其开展业务的所有人员（包括供应商、客户、消费者和员工）的个人信息提供合理的隐私保护。 供应商应实施适当的物理和电子安全规程，保护机密和专有信息（包括其他人的机密和专有信息以及个人信息）不被擅自访问、销毁、使用、修改和披露。 供应商应按照适用的隐私和信息安全法律和法规要求，收集、存储、处理、传输和共享个人信息。</w:t>
      </w:r>
    </w:p>
    <w:p w:rsidR="00932E9E" w:rsidRDefault="00932E9E">
      <w:pPr>
        <w:pStyle w:val="BodyText"/>
        <w:kinsoku w:val="0"/>
        <w:overflowPunct w:val="0"/>
        <w:spacing w:before="1"/>
        <w:ind w:left="0"/>
      </w:pPr>
    </w:p>
    <w:p w:rsidR="00932E9E" w:rsidRDefault="00932E9E">
      <w:pPr>
        <w:pStyle w:val="Heading1"/>
        <w:numPr>
          <w:ilvl w:val="0"/>
          <w:numId w:val="3"/>
        </w:numPr>
        <w:tabs>
          <w:tab w:val="left" w:pos="897"/>
        </w:tabs>
        <w:kinsoku w:val="0"/>
        <w:overflowPunct w:val="0"/>
        <w:ind w:left="896" w:hanging="612"/>
        <w:rPr>
          <w:b w:val="0"/>
          <w:bCs w:val="0"/>
        </w:rPr>
      </w:pPr>
      <w:r>
        <w:rPr>
          <w:u w:val="single"/>
        </w:rPr>
        <w:t>管理体系</w:t>
      </w:r>
    </w:p>
    <w:p w:rsidR="00932E9E" w:rsidRDefault="00932E9E">
      <w:pPr>
        <w:pStyle w:val="BodyText"/>
        <w:kinsoku w:val="0"/>
        <w:overflowPunct w:val="0"/>
        <w:spacing w:before="9"/>
        <w:ind w:left="0"/>
        <w:rPr>
          <w:b/>
          <w:bCs/>
          <w:sz w:val="18"/>
          <w:szCs w:val="18"/>
        </w:rPr>
      </w:pPr>
    </w:p>
    <w:p w:rsidR="00932E9E" w:rsidRDefault="00932E9E">
      <w:pPr>
        <w:pStyle w:val="BodyText"/>
        <w:kinsoku w:val="0"/>
        <w:overflowPunct w:val="0"/>
        <w:spacing w:before="61"/>
        <w:ind w:right="115"/>
        <w:jc w:val="both"/>
        <w:rPr>
          <w:spacing w:val="-1"/>
        </w:rPr>
      </w:pPr>
      <w:r>
        <w:t>供应商应采用和实施符合本供应商守则所述准则的管理系统。 根据不同供应商的业务和风险规模和范围，管理系统将有所不同。 管理系统的设计应确保</w:t>
      </w:r>
    </w:p>
    <w:p w:rsidR="00932E9E" w:rsidRPr="0022294A" w:rsidRDefault="00932E9E" w:rsidP="003B546B">
      <w:pPr>
        <w:pStyle w:val="BodyText"/>
        <w:numPr>
          <w:ilvl w:val="0"/>
          <w:numId w:val="1"/>
        </w:numPr>
        <w:tabs>
          <w:tab w:val="left" w:pos="481"/>
        </w:tabs>
        <w:kinsoku w:val="0"/>
        <w:overflowPunct w:val="0"/>
        <w:ind w:right="122" w:firstLine="0"/>
        <w:jc w:val="both"/>
        <w:rPr>
          <w:spacing w:val="-1"/>
        </w:rPr>
      </w:pPr>
      <w:r>
        <w:t>符合适用的法律、法规和客户要求；(b) 符合本供应商守则；(c) 减轻风险；以及 (d) 建立流程，对管理系统进行追踪、衡量和改进。  管理系统应至少包含以下要素：</w:t>
      </w:r>
    </w:p>
    <w:p w:rsidR="00932E9E" w:rsidRDefault="00932E9E">
      <w:pPr>
        <w:pStyle w:val="BodyText"/>
        <w:kinsoku w:val="0"/>
        <w:overflowPunct w:val="0"/>
        <w:spacing w:before="3"/>
        <w:ind w:left="0"/>
      </w:pPr>
    </w:p>
    <w:p w:rsidR="00932E9E" w:rsidRDefault="00932E9E">
      <w:pPr>
        <w:pStyle w:val="BodyText"/>
        <w:numPr>
          <w:ilvl w:val="1"/>
          <w:numId w:val="1"/>
        </w:numPr>
        <w:tabs>
          <w:tab w:val="left" w:pos="839"/>
        </w:tabs>
        <w:kinsoku w:val="0"/>
        <w:overflowPunct w:val="0"/>
        <w:ind w:right="115"/>
        <w:jc w:val="both"/>
        <w:rPr>
          <w:spacing w:val="-1"/>
        </w:rPr>
      </w:pPr>
      <w:r>
        <w:rPr>
          <w:b/>
          <w:bCs/>
        </w:rPr>
        <w:t>公司承诺和管理责任</w:t>
      </w:r>
      <w:r>
        <w:t>，为此应包含政策声明，确认供应商承诺遵纪守法，并指定公司代表负责人负责确保管理系统得到实施。</w:t>
      </w:r>
    </w:p>
    <w:p w:rsidR="00932E9E" w:rsidRDefault="00932E9E">
      <w:pPr>
        <w:pStyle w:val="BodyText"/>
        <w:kinsoku w:val="0"/>
        <w:overflowPunct w:val="0"/>
        <w:ind w:left="0"/>
      </w:pPr>
    </w:p>
    <w:p w:rsidR="00932E9E" w:rsidRDefault="00932E9E">
      <w:pPr>
        <w:pStyle w:val="BodyText"/>
        <w:numPr>
          <w:ilvl w:val="1"/>
          <w:numId w:val="1"/>
        </w:numPr>
        <w:tabs>
          <w:tab w:val="left" w:pos="839"/>
        </w:tabs>
        <w:kinsoku w:val="0"/>
        <w:overflowPunct w:val="0"/>
        <w:ind w:right="115"/>
        <w:jc w:val="both"/>
        <w:rPr>
          <w:spacing w:val="-1"/>
        </w:rPr>
      </w:pPr>
      <w:r>
        <w:rPr>
          <w:b/>
          <w:bCs/>
        </w:rPr>
        <w:t>风险评估和风险管理</w:t>
      </w:r>
      <w:r>
        <w:t>流程，用于识别与供应商经营相关的风险。 随着法规的不断修改和新法规的实行，供应商的管理系统应包含相关流程，用于监督和追踪可能对供应商公司及其客户在环境、限制材料使用、冲突矿物质和危险废弃物方面的业务活动产生影响的法规活动。</w:t>
      </w:r>
    </w:p>
    <w:p w:rsidR="00080DC9" w:rsidRDefault="00080DC9" w:rsidP="00080DC9">
      <w:pPr>
        <w:pStyle w:val="BodyText"/>
        <w:tabs>
          <w:tab w:val="left" w:pos="839"/>
        </w:tabs>
        <w:kinsoku w:val="0"/>
        <w:overflowPunct w:val="0"/>
        <w:ind w:left="0" w:right="115"/>
        <w:jc w:val="both"/>
        <w:rPr>
          <w:spacing w:val="-1"/>
        </w:rPr>
      </w:pPr>
    </w:p>
    <w:p w:rsidR="00932E9E" w:rsidRDefault="00932E9E">
      <w:pPr>
        <w:pStyle w:val="BodyText"/>
        <w:numPr>
          <w:ilvl w:val="1"/>
          <w:numId w:val="1"/>
        </w:numPr>
        <w:tabs>
          <w:tab w:val="left" w:pos="839"/>
        </w:tabs>
        <w:kinsoku w:val="0"/>
        <w:overflowPunct w:val="0"/>
        <w:spacing w:before="37"/>
        <w:ind w:right="117"/>
        <w:jc w:val="both"/>
        <w:rPr>
          <w:spacing w:val="-1"/>
        </w:rPr>
      </w:pPr>
      <w:r>
        <w:rPr>
          <w:b/>
          <w:bCs/>
        </w:rPr>
        <w:t>培训计划</w:t>
      </w:r>
      <w:r>
        <w:t>，用于培训经理和工作人员实施供应商政策、规程和改进目标，满足适用的法律和法规要求。</w:t>
      </w:r>
    </w:p>
    <w:p w:rsidR="00932E9E" w:rsidRDefault="00932E9E">
      <w:pPr>
        <w:pStyle w:val="BodyText"/>
        <w:kinsoku w:val="0"/>
        <w:overflowPunct w:val="0"/>
        <w:ind w:left="0"/>
      </w:pPr>
    </w:p>
    <w:p w:rsidR="00932E9E" w:rsidRDefault="00932E9E">
      <w:pPr>
        <w:pStyle w:val="BodyText"/>
        <w:numPr>
          <w:ilvl w:val="1"/>
          <w:numId w:val="1"/>
        </w:numPr>
        <w:tabs>
          <w:tab w:val="left" w:pos="839"/>
        </w:tabs>
        <w:kinsoku w:val="0"/>
        <w:overflowPunct w:val="0"/>
        <w:ind w:right="118"/>
        <w:jc w:val="both"/>
        <w:rPr>
          <w:spacing w:val="-1"/>
        </w:rPr>
      </w:pPr>
      <w:r>
        <w:rPr>
          <w:b/>
          <w:bCs/>
        </w:rPr>
        <w:t>标准、审核和评估</w:t>
      </w:r>
      <w:r>
        <w:t>，确保符合法律和法规要求、供应商守则内容以及客户合同要求。</w:t>
      </w:r>
    </w:p>
    <w:p w:rsidR="00932E9E" w:rsidRDefault="00932E9E">
      <w:pPr>
        <w:pStyle w:val="BodyText"/>
        <w:kinsoku w:val="0"/>
        <w:overflowPunct w:val="0"/>
        <w:ind w:left="0"/>
      </w:pPr>
    </w:p>
    <w:p w:rsidR="00932E9E" w:rsidRDefault="00932E9E">
      <w:pPr>
        <w:pStyle w:val="BodyText"/>
        <w:numPr>
          <w:ilvl w:val="1"/>
          <w:numId w:val="1"/>
        </w:numPr>
        <w:tabs>
          <w:tab w:val="left" w:pos="839"/>
        </w:tabs>
        <w:kinsoku w:val="0"/>
        <w:overflowPunct w:val="0"/>
        <w:ind w:right="117"/>
        <w:jc w:val="both"/>
        <w:rPr>
          <w:spacing w:val="-1"/>
        </w:rPr>
      </w:pPr>
      <w:r>
        <w:rPr>
          <w:b/>
          <w:bCs/>
        </w:rPr>
        <w:t>纠正措施流程</w:t>
      </w:r>
      <w:r>
        <w:t>，确保及时纠正在内部或外部评估、检验、调查和审核中发现的缺陷。</w:t>
      </w:r>
    </w:p>
    <w:p w:rsidR="00932E9E" w:rsidRDefault="00932E9E">
      <w:pPr>
        <w:pStyle w:val="BodyText"/>
        <w:kinsoku w:val="0"/>
        <w:overflowPunct w:val="0"/>
        <w:spacing w:before="3"/>
        <w:ind w:left="0"/>
      </w:pPr>
    </w:p>
    <w:p w:rsidR="00932E9E" w:rsidRDefault="00932E9E">
      <w:pPr>
        <w:pStyle w:val="BodyText"/>
        <w:numPr>
          <w:ilvl w:val="1"/>
          <w:numId w:val="1"/>
        </w:numPr>
        <w:tabs>
          <w:tab w:val="left" w:pos="839"/>
        </w:tabs>
        <w:kinsoku w:val="0"/>
        <w:overflowPunct w:val="0"/>
        <w:ind w:right="119"/>
        <w:jc w:val="both"/>
      </w:pPr>
      <w:r>
        <w:rPr>
          <w:b/>
          <w:bCs/>
        </w:rPr>
        <w:t>文件和记录</w:t>
      </w:r>
      <w:r>
        <w:t>，确保符合本供应商守则所述准则。</w:t>
      </w:r>
    </w:p>
    <w:p w:rsidR="00932E9E" w:rsidRDefault="00932E9E">
      <w:pPr>
        <w:pStyle w:val="BodyText"/>
        <w:kinsoku w:val="0"/>
        <w:overflowPunct w:val="0"/>
        <w:spacing w:before="3"/>
        <w:ind w:left="0"/>
      </w:pPr>
    </w:p>
    <w:p w:rsidR="00932E9E" w:rsidRDefault="00932E9E">
      <w:pPr>
        <w:pStyle w:val="BodyText"/>
        <w:numPr>
          <w:ilvl w:val="1"/>
          <w:numId w:val="1"/>
        </w:numPr>
        <w:tabs>
          <w:tab w:val="left" w:pos="839"/>
        </w:tabs>
        <w:kinsoku w:val="0"/>
        <w:overflowPunct w:val="0"/>
        <w:ind w:right="111"/>
        <w:jc w:val="both"/>
        <w:rPr>
          <w:spacing w:val="-1"/>
        </w:rPr>
      </w:pPr>
      <w:r>
        <w:rPr>
          <w:b/>
          <w:bCs/>
        </w:rPr>
        <w:t>关于向供应商传达供应商守则要求</w:t>
      </w:r>
      <w:r>
        <w:t>以及监督供应商遵守供应商行为守则情况的流程。</w:t>
      </w:r>
    </w:p>
    <w:p w:rsidR="00080DC9" w:rsidRDefault="00080DC9" w:rsidP="00080DC9">
      <w:pPr>
        <w:pStyle w:val="ListParagraph"/>
        <w:rPr>
          <w:spacing w:val="-1"/>
        </w:rPr>
      </w:pPr>
    </w:p>
    <w:p w:rsidR="00080DC9" w:rsidRDefault="00080DC9" w:rsidP="00080DC9">
      <w:pPr>
        <w:pStyle w:val="BodyText"/>
        <w:tabs>
          <w:tab w:val="left" w:pos="839"/>
        </w:tabs>
        <w:kinsoku w:val="0"/>
        <w:overflowPunct w:val="0"/>
        <w:ind w:right="111"/>
        <w:jc w:val="both"/>
        <w:rPr>
          <w:spacing w:val="-1"/>
        </w:rPr>
      </w:pPr>
    </w:p>
    <w:p w:rsidR="00080DC9" w:rsidRDefault="00080DC9" w:rsidP="00080DC9">
      <w:pPr>
        <w:pStyle w:val="BodyText"/>
        <w:tabs>
          <w:tab w:val="left" w:pos="839"/>
        </w:tabs>
        <w:kinsoku w:val="0"/>
        <w:overflowPunct w:val="0"/>
        <w:ind w:right="111"/>
        <w:jc w:val="both"/>
        <w:rPr>
          <w:spacing w:val="-1"/>
        </w:rPr>
      </w:pPr>
    </w:p>
    <w:p w:rsidR="00080DC9" w:rsidRDefault="00080DC9" w:rsidP="00080DC9">
      <w:pPr>
        <w:pStyle w:val="BodyText"/>
        <w:tabs>
          <w:tab w:val="left" w:pos="839"/>
        </w:tabs>
        <w:kinsoku w:val="0"/>
        <w:overflowPunct w:val="0"/>
        <w:ind w:right="111"/>
        <w:jc w:val="both"/>
        <w:rPr>
          <w:spacing w:val="-1"/>
        </w:rPr>
      </w:pPr>
    </w:p>
    <w:p w:rsidR="00080DC9" w:rsidRDefault="00080DC9" w:rsidP="00080DC9">
      <w:pPr>
        <w:pStyle w:val="BodyText"/>
        <w:tabs>
          <w:tab w:val="left" w:pos="839"/>
        </w:tabs>
        <w:kinsoku w:val="0"/>
        <w:overflowPunct w:val="0"/>
        <w:ind w:right="111"/>
        <w:jc w:val="both"/>
        <w:rPr>
          <w:spacing w:val="-1"/>
        </w:rPr>
      </w:pPr>
    </w:p>
    <w:p w:rsidR="00080DC9" w:rsidRDefault="00080DC9" w:rsidP="00080DC9">
      <w:pPr>
        <w:pStyle w:val="BodyText"/>
        <w:tabs>
          <w:tab w:val="left" w:pos="839"/>
        </w:tabs>
        <w:kinsoku w:val="0"/>
        <w:overflowPunct w:val="0"/>
        <w:ind w:right="111"/>
        <w:jc w:val="both"/>
        <w:rPr>
          <w:spacing w:val="-1"/>
        </w:rPr>
      </w:pPr>
    </w:p>
    <w:p w:rsidR="00080DC9" w:rsidRDefault="00080DC9" w:rsidP="00080DC9">
      <w:pPr>
        <w:pStyle w:val="BodyText"/>
        <w:tabs>
          <w:tab w:val="left" w:pos="839"/>
        </w:tabs>
        <w:kinsoku w:val="0"/>
        <w:overflowPunct w:val="0"/>
        <w:ind w:right="111"/>
        <w:jc w:val="both"/>
        <w:rPr>
          <w:spacing w:val="-1"/>
        </w:rPr>
      </w:pPr>
    </w:p>
    <w:p w:rsidR="00080DC9" w:rsidRDefault="00080DC9" w:rsidP="00080DC9">
      <w:pPr>
        <w:pStyle w:val="BodyText"/>
        <w:tabs>
          <w:tab w:val="left" w:pos="839"/>
        </w:tabs>
        <w:kinsoku w:val="0"/>
        <w:overflowPunct w:val="0"/>
        <w:ind w:right="111"/>
        <w:jc w:val="both"/>
        <w:rPr>
          <w:spacing w:val="-1"/>
        </w:rPr>
      </w:pPr>
    </w:p>
    <w:p w:rsidR="00932E9E" w:rsidRDefault="00932E9E">
      <w:pPr>
        <w:pStyle w:val="BodyText"/>
        <w:kinsoku w:val="0"/>
        <w:overflowPunct w:val="0"/>
        <w:spacing w:before="11"/>
        <w:ind w:left="0"/>
        <w:rPr>
          <w:sz w:val="23"/>
          <w:szCs w:val="23"/>
        </w:rPr>
      </w:pPr>
    </w:p>
    <w:p w:rsidR="00932E9E" w:rsidRDefault="00932E9E" w:rsidP="006D5475">
      <w:pPr>
        <w:pStyle w:val="Heading1"/>
        <w:numPr>
          <w:ilvl w:val="0"/>
          <w:numId w:val="3"/>
        </w:numPr>
        <w:tabs>
          <w:tab w:val="left" w:pos="839"/>
        </w:tabs>
        <w:kinsoku w:val="0"/>
        <w:overflowPunct w:val="0"/>
        <w:rPr>
          <w:b w:val="0"/>
          <w:bCs w:val="0"/>
        </w:rPr>
      </w:pPr>
      <w:r>
        <w:rPr>
          <w:u w:val="single"/>
        </w:rPr>
        <w:t>报告担忧</w:t>
      </w:r>
    </w:p>
    <w:p w:rsidR="00932E9E" w:rsidRDefault="00932E9E">
      <w:pPr>
        <w:pStyle w:val="BodyText"/>
        <w:kinsoku w:val="0"/>
        <w:overflowPunct w:val="0"/>
        <w:spacing w:before="11"/>
        <w:ind w:left="0"/>
        <w:rPr>
          <w:b/>
          <w:bCs/>
          <w:sz w:val="18"/>
          <w:szCs w:val="18"/>
        </w:rPr>
      </w:pPr>
    </w:p>
    <w:p w:rsidR="00932E9E" w:rsidRDefault="00932E9E">
      <w:pPr>
        <w:pStyle w:val="BodyText"/>
        <w:kinsoku w:val="0"/>
        <w:overflowPunct w:val="0"/>
        <w:spacing w:before="61"/>
        <w:ind w:right="118"/>
        <w:jc w:val="both"/>
        <w:rPr>
          <w:spacing w:val="-1"/>
        </w:rPr>
      </w:pPr>
      <w:r>
        <w:t>如果您得知任何涉嫌违反本供应商守则的情况，您有责任进行举报。 请注意，如果未遵守本供应商守则，可能会被立即解除 Resideo 供应商身份，还有可能被起诉。</w:t>
      </w:r>
    </w:p>
    <w:p w:rsidR="00932E9E" w:rsidRDefault="00932E9E">
      <w:pPr>
        <w:pStyle w:val="BodyText"/>
        <w:kinsoku w:val="0"/>
        <w:overflowPunct w:val="0"/>
        <w:spacing w:before="11"/>
        <w:ind w:left="0"/>
        <w:rPr>
          <w:sz w:val="23"/>
          <w:szCs w:val="23"/>
        </w:rPr>
      </w:pPr>
    </w:p>
    <w:p w:rsidR="00E4633E" w:rsidRPr="00700AFD" w:rsidRDefault="00932E9E">
      <w:pPr>
        <w:pStyle w:val="BodyText"/>
        <w:kinsoku w:val="0"/>
        <w:overflowPunct w:val="0"/>
        <w:ind w:right="1997"/>
        <w:rPr>
          <w:rFonts w:cs="Arial"/>
          <w:spacing w:val="53"/>
        </w:rPr>
      </w:pPr>
      <w:r>
        <w:rPr>
          <w:rFonts w:cs="Arial"/>
        </w:rPr>
        <w:t xml:space="preserve">您可以通过 Resideo 诚信帮助热线进行举报： </w:t>
      </w:r>
    </w:p>
    <w:p w:rsidR="00E4633E" w:rsidRPr="00700AFD" w:rsidRDefault="00E4633E">
      <w:pPr>
        <w:pStyle w:val="BodyText"/>
        <w:kinsoku w:val="0"/>
        <w:overflowPunct w:val="0"/>
        <w:ind w:right="1997"/>
        <w:rPr>
          <w:rFonts w:cs="Arial"/>
          <w:spacing w:val="53"/>
        </w:rPr>
      </w:pPr>
    </w:p>
    <w:p w:rsidR="00932E9E" w:rsidRPr="00700AFD" w:rsidRDefault="00932E9E">
      <w:pPr>
        <w:pStyle w:val="BodyText"/>
        <w:kinsoku w:val="0"/>
        <w:overflowPunct w:val="0"/>
        <w:ind w:right="1997"/>
        <w:rPr>
          <w:rFonts w:cs="Arial"/>
          <w:spacing w:val="-1"/>
        </w:rPr>
      </w:pPr>
      <w:r>
        <w:rPr>
          <w:rFonts w:cs="Arial"/>
        </w:rPr>
        <w:t xml:space="preserve">电话： </w:t>
        <w:tab/>
      </w:r>
      <w:r>
        <w:rPr>
          <w:b/>
          <w:color w:val="FF0000"/>
          <w:sz w:val="28"/>
          <w:szCs w:val="28"/>
          <w:rFonts w:cs="Arial"/>
        </w:rPr>
        <w:t>(855) 372-5695</w:t>
      </w:r>
    </w:p>
    <w:p w:rsidR="00932E9E" w:rsidRPr="00700AFD" w:rsidRDefault="00932E9E">
      <w:pPr>
        <w:pStyle w:val="BodyText"/>
        <w:kinsoku w:val="0"/>
        <w:overflowPunct w:val="0"/>
        <w:spacing w:before="1"/>
        <w:ind w:left="0"/>
        <w:rPr>
          <w:rFonts w:cs="Arial"/>
          <w:sz w:val="23"/>
          <w:szCs w:val="23"/>
        </w:rPr>
      </w:pPr>
    </w:p>
    <w:p w:rsidR="00997F9E" w:rsidRPr="00700AFD" w:rsidRDefault="00932E9E" w:rsidP="00F65DC7">
      <w:pPr>
        <w:pStyle w:val="BodyText"/>
        <w:kinsoku w:val="0"/>
        <w:overflowPunct w:val="0"/>
        <w:jc w:val="both"/>
        <w:rPr>
          <w:rFonts w:cs="Arial"/>
          <w:sz w:val="22"/>
          <w:szCs w:val="22"/>
        </w:rPr>
      </w:pPr>
      <w:r>
        <w:rPr>
          <w:rFonts w:cs="Arial"/>
        </w:rPr>
        <w:t>寄信：</w:t>
        <w:tab/>
        <w:t>Resideo Technologies, Inc.</w:t>
      </w:r>
    </w:p>
    <w:p w:rsidR="00997F9E" w:rsidRPr="00700AFD" w:rsidRDefault="00997F9E" w:rsidP="00E4633E">
      <w:pPr>
        <w:ind w:left="838" w:firstLine="602"/>
        <w:rPr>
          <w:rFonts w:ascii="Honeywell Sans Web" w:hAnsi="Honeywell Sans Web" w:cs="Arial"/>
        </w:rPr>
      </w:pPr>
      <w:r>
        <w:rPr>
          <w:rFonts w:ascii="Honeywell Sans Web" w:hAnsi="Honeywell Sans Web" w:cs="Arial"/>
        </w:rPr>
        <w:t>Attention: Integrity &amp; Compliance</w:t>
      </w:r>
    </w:p>
    <w:p w:rsidR="00997F9E" w:rsidRPr="00700AFD" w:rsidRDefault="00997F9E" w:rsidP="00E4633E">
      <w:pPr>
        <w:ind w:left="838" w:firstLine="602"/>
        <w:rPr>
          <w:rFonts w:ascii="Honeywell Sans Web" w:hAnsi="Honeywell Sans Web" w:cs="Arial"/>
        </w:rPr>
      </w:pPr>
      <w:r>
        <w:rPr>
          <w:rFonts w:ascii="Honeywell Sans Web" w:hAnsi="Honeywell Sans Web" w:cs="Arial"/>
        </w:rPr>
        <w:t>2 Corporate Center Drive, Suite #100</w:t>
      </w:r>
    </w:p>
    <w:p w:rsidR="00997F9E" w:rsidRPr="00700AFD" w:rsidRDefault="00997F9E" w:rsidP="00E4633E">
      <w:pPr>
        <w:ind w:left="838" w:firstLine="602"/>
        <w:rPr>
          <w:rFonts w:ascii="Honeywell Sans Web" w:hAnsi="Honeywell Sans Web" w:cs="Arial"/>
        </w:rPr>
      </w:pPr>
      <w:r>
        <w:rPr>
          <w:rFonts w:ascii="Honeywell Sans Web" w:hAnsi="Honeywell Sans Web" w:cs="Arial"/>
        </w:rPr>
        <w:t>Melville, NY 11747</w:t>
      </w:r>
    </w:p>
    <w:p w:rsidR="00997F9E" w:rsidRPr="00700AFD" w:rsidRDefault="00997F9E" w:rsidP="00997F9E">
      <w:pPr>
        <w:ind w:left="118"/>
        <w:rPr>
          <w:rFonts w:ascii="Honeywell Sans Web" w:hAnsi="Honeywell Sans Web" w:cs="Arial"/>
          <w:color w:val="000000"/>
          <w:spacing w:val="-1"/>
        </w:rPr>
      </w:pPr>
    </w:p>
    <w:p w:rsidR="00997F9E" w:rsidRPr="00700AFD" w:rsidRDefault="00932E9E" w:rsidP="00997F9E">
      <w:pPr>
        <w:ind w:left="118"/>
        <w:rPr>
          <w:rFonts w:ascii="Honeywell Sans Web" w:hAnsi="Honeywell Sans Web" w:cs="Arial"/>
          <w:sz w:val="22"/>
          <w:szCs w:val="22"/>
        </w:rPr>
      </w:pPr>
      <w:r>
        <w:rPr>
          <w:color w:val="000000"/>
          <w:rFonts w:ascii="Honeywell Sans Web" w:hAnsi="Honeywell Sans Web" w:cs="Arial"/>
        </w:rPr>
        <w:t xml:space="preserve">电子邮件： </w:t>
        <w:tab/>
      </w:r>
      <w:hyperlink r:id="rId6" w:history="1">
        <w:r>
          <w:rPr>
            <w:rStyle w:val="Hyperlink"/>
            <w:rFonts w:ascii="Honeywell Sans Web" w:hAnsi="Honeywell Sans Web" w:cs="Arial"/>
          </w:rPr>
          <w:t>integrity@resideo.com</w:t>
        </w:r>
      </w:hyperlink>
    </w:p>
    <w:p w:rsidR="00932E9E" w:rsidRDefault="00932E9E" w:rsidP="004371CB">
      <w:pPr>
        <w:pStyle w:val="BodyText"/>
        <w:kinsoku w:val="0"/>
        <w:overflowPunct w:val="0"/>
        <w:spacing w:line="480" w:lineRule="auto"/>
        <w:ind w:right="4812"/>
        <w:rPr>
          <w:color w:val="000000"/>
        </w:rPr>
      </w:pPr>
    </w:p>
    <w:p w:rsidR="00932E9E" w:rsidRDefault="004371CB">
      <w:pPr>
        <w:pStyle w:val="BodyText"/>
        <w:kinsoku w:val="0"/>
        <w:overflowPunct w:val="0"/>
        <w:ind w:right="120"/>
        <w:jc w:val="both"/>
        <w:rPr>
          <w:spacing w:val="-1"/>
        </w:rPr>
      </w:pPr>
      <w:r>
        <w:t>Resideo 将依照法律和公司政策要求，以及视公司开展彻底调查的需要，尽量对所有举报保密。 所有举报事件将依照适用的法律得到及时和充分的调查，并且在得到 Resideo 法律部门的建议和批准后，可能会报告给相关部门。</w:t>
      </w:r>
    </w:p>
    <w:p w:rsidR="00932E9E" w:rsidRDefault="00932E9E">
      <w:pPr>
        <w:pStyle w:val="BodyText"/>
        <w:kinsoku w:val="0"/>
        <w:overflowPunct w:val="0"/>
        <w:spacing w:before="11"/>
        <w:ind w:left="0"/>
        <w:rPr>
          <w:sz w:val="23"/>
          <w:szCs w:val="23"/>
        </w:rPr>
      </w:pPr>
    </w:p>
    <w:p w:rsidR="00932E9E" w:rsidRDefault="00932E9E">
      <w:pPr>
        <w:pStyle w:val="BodyText"/>
        <w:kinsoku w:val="0"/>
        <w:overflowPunct w:val="0"/>
        <w:ind w:left="2"/>
        <w:jc w:val="center"/>
      </w:pPr>
      <w:r>
        <w:t>***</w:t>
      </w:r>
    </w:p>
    <w:p w:rsidR="00932E9E" w:rsidRDefault="00932E9E">
      <w:pPr>
        <w:pStyle w:val="BodyText"/>
        <w:kinsoku w:val="0"/>
        <w:overflowPunct w:val="0"/>
        <w:spacing w:before="1"/>
        <w:ind w:left="0"/>
      </w:pPr>
    </w:p>
    <w:p w:rsidR="00932E9E" w:rsidRDefault="00932E9E">
      <w:pPr>
        <w:pStyle w:val="BodyText"/>
        <w:kinsoku w:val="0"/>
        <w:overflowPunct w:val="0"/>
        <w:ind w:left="0" w:right="114"/>
        <w:jc w:val="right"/>
      </w:pPr>
      <w:r>
        <w:t>2018 年 10 月批准</w:t>
      </w:r>
    </w:p>
    <w:sectPr w:rsidR="00932E9E">
      <w:pgSz w:w="12240" w:h="15840"/>
      <w:pgMar w:top="840" w:right="760" w:bottom="280" w:left="7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oneywell Sans Web">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838" w:hanging="495"/>
      </w:pPr>
      <w:rPr>
        <w:rFonts w:ascii="Honeywell Sans Web" w:hAnsi="Honeywell Sans Web" w:cs="Honeywell Sans Web"/>
        <w:b/>
        <w:bCs/>
        <w:color w:val="201E1F"/>
        <w:spacing w:val="-1"/>
        <w:sz w:val="24"/>
        <w:szCs w:val="24"/>
      </w:rPr>
    </w:lvl>
    <w:lvl w:ilvl="1">
      <w:start w:val="1"/>
      <w:numFmt w:val="decimal"/>
      <w:lvlText w:val="%2."/>
      <w:lvlJc w:val="left"/>
      <w:pPr>
        <w:ind w:left="838" w:hanging="360"/>
      </w:pPr>
      <w:rPr>
        <w:rFonts w:ascii="Honeywell Sans Web" w:hAnsi="Honeywell Sans Web" w:cs="Honeywell Sans Web"/>
        <w:b/>
        <w:bCs/>
        <w:color w:val="201E1F"/>
        <w:spacing w:val="1"/>
        <w:sz w:val="24"/>
        <w:szCs w:val="24"/>
      </w:rPr>
    </w:lvl>
    <w:lvl w:ilvl="2">
      <w:numFmt w:val="bullet"/>
      <w:lvlText w:val="•"/>
      <w:lvlJc w:val="left"/>
      <w:pPr>
        <w:ind w:left="2871" w:hanging="360"/>
      </w:pPr>
    </w:lvl>
    <w:lvl w:ilvl="3">
      <w:numFmt w:val="bullet"/>
      <w:lvlText w:val="•"/>
      <w:lvlJc w:val="left"/>
      <w:pPr>
        <w:ind w:left="3887" w:hanging="360"/>
      </w:pPr>
    </w:lvl>
    <w:lvl w:ilvl="4">
      <w:numFmt w:val="bullet"/>
      <w:lvlText w:val="•"/>
      <w:lvlJc w:val="left"/>
      <w:pPr>
        <w:ind w:left="4903" w:hanging="360"/>
      </w:pPr>
    </w:lvl>
    <w:lvl w:ilvl="5">
      <w:numFmt w:val="bullet"/>
      <w:lvlText w:val="•"/>
      <w:lvlJc w:val="left"/>
      <w:pPr>
        <w:ind w:left="5919" w:hanging="360"/>
      </w:pPr>
    </w:lvl>
    <w:lvl w:ilvl="6">
      <w:numFmt w:val="bullet"/>
      <w:lvlText w:val="•"/>
      <w:lvlJc w:val="left"/>
      <w:pPr>
        <w:ind w:left="6935" w:hanging="360"/>
      </w:pPr>
    </w:lvl>
    <w:lvl w:ilvl="7">
      <w:numFmt w:val="bullet"/>
      <w:lvlText w:val="•"/>
      <w:lvlJc w:val="left"/>
      <w:pPr>
        <w:ind w:left="7951" w:hanging="360"/>
      </w:pPr>
    </w:lvl>
    <w:lvl w:ilvl="8">
      <w:numFmt w:val="bullet"/>
      <w:lvlText w:val="•"/>
      <w:lvlJc w:val="left"/>
      <w:pPr>
        <w:ind w:left="8967" w:hanging="360"/>
      </w:pPr>
    </w:lvl>
  </w:abstractNum>
  <w:abstractNum w:abstractNumId="1" w15:restartNumberingAfterBreak="0">
    <w:nsid w:val="00000403"/>
    <w:multiLevelType w:val="multilevel"/>
    <w:tmpl w:val="00000886"/>
    <w:lvl w:ilvl="0">
      <w:start w:val="1"/>
      <w:numFmt w:val="decimal"/>
      <w:lvlText w:val="%1."/>
      <w:lvlJc w:val="left"/>
      <w:pPr>
        <w:ind w:left="838" w:hanging="360"/>
      </w:pPr>
      <w:rPr>
        <w:rFonts w:ascii="Honeywell Sans Web" w:hAnsi="Honeywell Sans Web" w:cs="Honeywell Sans Web"/>
        <w:b w:val="0"/>
        <w:bCs w:val="0"/>
        <w:spacing w:val="1"/>
        <w:sz w:val="24"/>
        <w:szCs w:val="24"/>
      </w:rPr>
    </w:lvl>
    <w:lvl w:ilvl="1">
      <w:numFmt w:val="bullet"/>
      <w:lvlText w:val="•"/>
      <w:lvlJc w:val="left"/>
      <w:pPr>
        <w:ind w:left="1855" w:hanging="360"/>
      </w:pPr>
    </w:lvl>
    <w:lvl w:ilvl="2">
      <w:numFmt w:val="bullet"/>
      <w:lvlText w:val="•"/>
      <w:lvlJc w:val="left"/>
      <w:pPr>
        <w:ind w:left="2871" w:hanging="360"/>
      </w:pPr>
    </w:lvl>
    <w:lvl w:ilvl="3">
      <w:numFmt w:val="bullet"/>
      <w:lvlText w:val="•"/>
      <w:lvlJc w:val="left"/>
      <w:pPr>
        <w:ind w:left="3887" w:hanging="360"/>
      </w:pPr>
    </w:lvl>
    <w:lvl w:ilvl="4">
      <w:numFmt w:val="bullet"/>
      <w:lvlText w:val="•"/>
      <w:lvlJc w:val="left"/>
      <w:pPr>
        <w:ind w:left="4903" w:hanging="360"/>
      </w:pPr>
    </w:lvl>
    <w:lvl w:ilvl="5">
      <w:numFmt w:val="bullet"/>
      <w:lvlText w:val="•"/>
      <w:lvlJc w:val="left"/>
      <w:pPr>
        <w:ind w:left="5919" w:hanging="360"/>
      </w:pPr>
    </w:lvl>
    <w:lvl w:ilvl="6">
      <w:numFmt w:val="bullet"/>
      <w:lvlText w:val="•"/>
      <w:lvlJc w:val="left"/>
      <w:pPr>
        <w:ind w:left="6935" w:hanging="360"/>
      </w:pPr>
    </w:lvl>
    <w:lvl w:ilvl="7">
      <w:numFmt w:val="bullet"/>
      <w:lvlText w:val="•"/>
      <w:lvlJc w:val="left"/>
      <w:pPr>
        <w:ind w:left="7951" w:hanging="360"/>
      </w:pPr>
    </w:lvl>
    <w:lvl w:ilvl="8">
      <w:numFmt w:val="bullet"/>
      <w:lvlText w:val="•"/>
      <w:lvlJc w:val="left"/>
      <w:pPr>
        <w:ind w:left="8967" w:hanging="360"/>
      </w:pPr>
    </w:lvl>
  </w:abstractNum>
  <w:abstractNum w:abstractNumId="2" w15:restartNumberingAfterBreak="0">
    <w:nsid w:val="00000404"/>
    <w:multiLevelType w:val="multilevel"/>
    <w:tmpl w:val="00000887"/>
    <w:lvl w:ilvl="0">
      <w:start w:val="3"/>
      <w:numFmt w:val="decimal"/>
      <w:lvlText w:val="%1."/>
      <w:lvlJc w:val="left"/>
      <w:pPr>
        <w:ind w:left="838" w:hanging="360"/>
      </w:pPr>
      <w:rPr>
        <w:rFonts w:ascii="Honeywell Sans Web" w:hAnsi="Honeywell Sans Web" w:cs="Honeywell Sans Web"/>
        <w:b/>
        <w:bCs/>
        <w:color w:val="201E1F"/>
        <w:spacing w:val="1"/>
        <w:sz w:val="24"/>
        <w:szCs w:val="24"/>
      </w:rPr>
    </w:lvl>
    <w:lvl w:ilvl="1">
      <w:numFmt w:val="bullet"/>
      <w:lvlText w:val="•"/>
      <w:lvlJc w:val="left"/>
      <w:pPr>
        <w:ind w:left="1827" w:hanging="360"/>
      </w:pPr>
    </w:lvl>
    <w:lvl w:ilvl="2">
      <w:numFmt w:val="bullet"/>
      <w:lvlText w:val="•"/>
      <w:lvlJc w:val="left"/>
      <w:pPr>
        <w:ind w:left="2815" w:hanging="360"/>
      </w:pPr>
    </w:lvl>
    <w:lvl w:ilvl="3">
      <w:numFmt w:val="bullet"/>
      <w:lvlText w:val="•"/>
      <w:lvlJc w:val="left"/>
      <w:pPr>
        <w:ind w:left="3803" w:hanging="360"/>
      </w:pPr>
    </w:lvl>
    <w:lvl w:ilvl="4">
      <w:numFmt w:val="bullet"/>
      <w:lvlText w:val="•"/>
      <w:lvlJc w:val="left"/>
      <w:pPr>
        <w:ind w:left="4791" w:hanging="360"/>
      </w:pPr>
    </w:lvl>
    <w:lvl w:ilvl="5">
      <w:numFmt w:val="bullet"/>
      <w:lvlText w:val="•"/>
      <w:lvlJc w:val="left"/>
      <w:pPr>
        <w:ind w:left="5779" w:hanging="360"/>
      </w:pPr>
    </w:lvl>
    <w:lvl w:ilvl="6">
      <w:numFmt w:val="bullet"/>
      <w:lvlText w:val="•"/>
      <w:lvlJc w:val="left"/>
      <w:pPr>
        <w:ind w:left="6767" w:hanging="360"/>
      </w:pPr>
    </w:lvl>
    <w:lvl w:ilvl="7">
      <w:numFmt w:val="bullet"/>
      <w:lvlText w:val="•"/>
      <w:lvlJc w:val="left"/>
      <w:pPr>
        <w:ind w:left="7755" w:hanging="360"/>
      </w:pPr>
    </w:lvl>
    <w:lvl w:ilvl="8">
      <w:numFmt w:val="bullet"/>
      <w:lvlText w:val="•"/>
      <w:lvlJc w:val="left"/>
      <w:pPr>
        <w:ind w:left="8743" w:hanging="360"/>
      </w:pPr>
    </w:lvl>
  </w:abstractNum>
  <w:abstractNum w:abstractNumId="3" w15:restartNumberingAfterBreak="0">
    <w:nsid w:val="00000405"/>
    <w:multiLevelType w:val="multilevel"/>
    <w:tmpl w:val="3D426FC6"/>
    <w:lvl w:ilvl="0">
      <w:start w:val="2"/>
      <w:numFmt w:val="upperRoman"/>
      <w:lvlText w:val="%1."/>
      <w:lvlJc w:val="left"/>
      <w:pPr>
        <w:ind w:left="731" w:hanging="551"/>
      </w:pPr>
      <w:rPr>
        <w:rFonts w:ascii="Honeywell Sans Web" w:hAnsi="Honeywell Sans Web" w:cs="Honeywell Sans Web"/>
        <w:b/>
        <w:bCs w:val="0"/>
        <w:sz w:val="24"/>
        <w:szCs w:val="24"/>
      </w:rPr>
    </w:lvl>
    <w:lvl w:ilvl="1">
      <w:start w:val="1"/>
      <w:numFmt w:val="decimal"/>
      <w:lvlText w:val="%2."/>
      <w:lvlJc w:val="left"/>
      <w:pPr>
        <w:ind w:left="731" w:hanging="360"/>
      </w:pPr>
      <w:rPr>
        <w:rFonts w:ascii="Honeywell Sans Web" w:hAnsi="Honeywell Sans Web" w:cs="Honeywell Sans Web"/>
        <w:b/>
        <w:bCs/>
        <w:spacing w:val="1"/>
        <w:sz w:val="24"/>
        <w:szCs w:val="24"/>
      </w:rPr>
    </w:lvl>
    <w:lvl w:ilvl="2">
      <w:numFmt w:val="bullet"/>
      <w:lvlText w:val="•"/>
      <w:lvlJc w:val="left"/>
      <w:pPr>
        <w:ind w:left="2708" w:hanging="360"/>
      </w:pPr>
    </w:lvl>
    <w:lvl w:ilvl="3">
      <w:numFmt w:val="bullet"/>
      <w:lvlText w:val="•"/>
      <w:lvlJc w:val="left"/>
      <w:pPr>
        <w:ind w:left="3696" w:hanging="360"/>
      </w:pPr>
    </w:lvl>
    <w:lvl w:ilvl="4">
      <w:numFmt w:val="bullet"/>
      <w:lvlText w:val="•"/>
      <w:lvlJc w:val="left"/>
      <w:pPr>
        <w:ind w:left="4684" w:hanging="360"/>
      </w:pPr>
    </w:lvl>
    <w:lvl w:ilvl="5">
      <w:numFmt w:val="bullet"/>
      <w:lvlText w:val="•"/>
      <w:lvlJc w:val="left"/>
      <w:pPr>
        <w:ind w:left="5672" w:hanging="360"/>
      </w:pPr>
    </w:lvl>
    <w:lvl w:ilvl="6">
      <w:numFmt w:val="bullet"/>
      <w:lvlText w:val="•"/>
      <w:lvlJc w:val="left"/>
      <w:pPr>
        <w:ind w:left="6660" w:hanging="360"/>
      </w:pPr>
    </w:lvl>
    <w:lvl w:ilvl="7">
      <w:numFmt w:val="bullet"/>
      <w:lvlText w:val="•"/>
      <w:lvlJc w:val="left"/>
      <w:pPr>
        <w:ind w:left="7648" w:hanging="360"/>
      </w:pPr>
    </w:lvl>
    <w:lvl w:ilvl="8">
      <w:numFmt w:val="bullet"/>
      <w:lvlText w:val="•"/>
      <w:lvlJc w:val="left"/>
      <w:pPr>
        <w:ind w:left="8636" w:hanging="360"/>
      </w:pPr>
    </w:lvl>
  </w:abstractNum>
  <w:abstractNum w:abstractNumId="4" w15:restartNumberingAfterBreak="0">
    <w:nsid w:val="00000406"/>
    <w:multiLevelType w:val="multilevel"/>
    <w:tmpl w:val="00000889"/>
    <w:lvl w:ilvl="0">
      <w:start w:val="1"/>
      <w:numFmt w:val="decimal"/>
      <w:lvlText w:val="%1."/>
      <w:lvlJc w:val="left"/>
      <w:pPr>
        <w:ind w:left="118" w:hanging="257"/>
      </w:pPr>
      <w:rPr>
        <w:rFonts w:ascii="Honeywell Sans Web" w:hAnsi="Honeywell Sans Web" w:cs="Honeywell Sans Web"/>
        <w:b w:val="0"/>
        <w:bCs w:val="0"/>
        <w:sz w:val="24"/>
        <w:szCs w:val="24"/>
      </w:rPr>
    </w:lvl>
    <w:lvl w:ilvl="1">
      <w:numFmt w:val="bullet"/>
      <w:lvlText w:val="•"/>
      <w:lvlJc w:val="left"/>
      <w:pPr>
        <w:ind w:left="1178" w:hanging="257"/>
      </w:pPr>
    </w:lvl>
    <w:lvl w:ilvl="2">
      <w:numFmt w:val="bullet"/>
      <w:lvlText w:val="•"/>
      <w:lvlJc w:val="left"/>
      <w:pPr>
        <w:ind w:left="2238" w:hanging="257"/>
      </w:pPr>
    </w:lvl>
    <w:lvl w:ilvl="3">
      <w:numFmt w:val="bullet"/>
      <w:lvlText w:val="•"/>
      <w:lvlJc w:val="left"/>
      <w:pPr>
        <w:ind w:left="3298" w:hanging="257"/>
      </w:pPr>
    </w:lvl>
    <w:lvl w:ilvl="4">
      <w:numFmt w:val="bullet"/>
      <w:lvlText w:val="•"/>
      <w:lvlJc w:val="left"/>
      <w:pPr>
        <w:ind w:left="4359" w:hanging="257"/>
      </w:pPr>
    </w:lvl>
    <w:lvl w:ilvl="5">
      <w:numFmt w:val="bullet"/>
      <w:lvlText w:val="•"/>
      <w:lvlJc w:val="left"/>
      <w:pPr>
        <w:ind w:left="5419" w:hanging="257"/>
      </w:pPr>
    </w:lvl>
    <w:lvl w:ilvl="6">
      <w:numFmt w:val="bullet"/>
      <w:lvlText w:val="•"/>
      <w:lvlJc w:val="left"/>
      <w:pPr>
        <w:ind w:left="6479" w:hanging="257"/>
      </w:pPr>
    </w:lvl>
    <w:lvl w:ilvl="7">
      <w:numFmt w:val="bullet"/>
      <w:lvlText w:val="•"/>
      <w:lvlJc w:val="left"/>
      <w:pPr>
        <w:ind w:left="7539" w:hanging="257"/>
      </w:pPr>
    </w:lvl>
    <w:lvl w:ilvl="8">
      <w:numFmt w:val="bullet"/>
      <w:lvlText w:val="•"/>
      <w:lvlJc w:val="left"/>
      <w:pPr>
        <w:ind w:left="8599" w:hanging="257"/>
      </w:pPr>
    </w:lvl>
  </w:abstractNum>
  <w:abstractNum w:abstractNumId="5" w15:restartNumberingAfterBreak="0">
    <w:nsid w:val="00000407"/>
    <w:multiLevelType w:val="multilevel"/>
    <w:tmpl w:val="0000088A"/>
    <w:lvl w:ilvl="0">
      <w:start w:val="1"/>
      <w:numFmt w:val="lowerLetter"/>
      <w:lvlText w:val="(%1)"/>
      <w:lvlJc w:val="left"/>
      <w:pPr>
        <w:ind w:left="118" w:hanging="363"/>
      </w:pPr>
      <w:rPr>
        <w:rFonts w:ascii="Honeywell Sans Web" w:hAnsi="Honeywell Sans Web" w:cs="Honeywell Sans Web"/>
        <w:b w:val="0"/>
        <w:bCs w:val="0"/>
        <w:spacing w:val="-1"/>
        <w:sz w:val="24"/>
        <w:szCs w:val="24"/>
      </w:rPr>
    </w:lvl>
    <w:lvl w:ilvl="1">
      <w:numFmt w:val="bullet"/>
      <w:lvlText w:val=""/>
      <w:lvlJc w:val="left"/>
      <w:pPr>
        <w:ind w:left="838" w:hanging="360"/>
      </w:pPr>
      <w:rPr>
        <w:rFonts w:ascii="Symbol" w:hAnsi="Symbol"/>
        <w:b w:val="0"/>
        <w:sz w:val="24"/>
      </w:rPr>
    </w:lvl>
    <w:lvl w:ilvl="2">
      <w:numFmt w:val="bullet"/>
      <w:lvlText w:val="•"/>
      <w:lvlJc w:val="left"/>
      <w:pPr>
        <w:ind w:left="1936" w:hanging="360"/>
      </w:pPr>
    </w:lvl>
    <w:lvl w:ilvl="3">
      <w:numFmt w:val="bullet"/>
      <w:lvlText w:val="•"/>
      <w:lvlJc w:val="left"/>
      <w:pPr>
        <w:ind w:left="3034" w:hanging="360"/>
      </w:pPr>
    </w:lvl>
    <w:lvl w:ilvl="4">
      <w:numFmt w:val="bullet"/>
      <w:lvlText w:val="•"/>
      <w:lvlJc w:val="left"/>
      <w:pPr>
        <w:ind w:left="4132" w:hanging="360"/>
      </w:pPr>
    </w:lvl>
    <w:lvl w:ilvl="5">
      <w:numFmt w:val="bullet"/>
      <w:lvlText w:val="•"/>
      <w:lvlJc w:val="left"/>
      <w:pPr>
        <w:ind w:left="5230" w:hanging="360"/>
      </w:pPr>
    </w:lvl>
    <w:lvl w:ilvl="6">
      <w:numFmt w:val="bullet"/>
      <w:lvlText w:val="•"/>
      <w:lvlJc w:val="left"/>
      <w:pPr>
        <w:ind w:left="6328" w:hanging="360"/>
      </w:pPr>
    </w:lvl>
    <w:lvl w:ilvl="7">
      <w:numFmt w:val="bullet"/>
      <w:lvlText w:val="•"/>
      <w:lvlJc w:val="left"/>
      <w:pPr>
        <w:ind w:left="7426" w:hanging="360"/>
      </w:pPr>
    </w:lvl>
    <w:lvl w:ilvl="8">
      <w:numFmt w:val="bullet"/>
      <w:lvlText w:val="•"/>
      <w:lvlJc w:val="left"/>
      <w:pPr>
        <w:ind w:left="8524" w:hanging="36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xNLe0NDU0MzUyMjJW0lEKTi0uzszPAykwqgUA0TRMzCwAAAA="/>
  </w:docVars>
  <w:rsids>
    <w:rsidRoot w:val="008D4B03"/>
    <w:rsid w:val="00080DC9"/>
    <w:rsid w:val="00196624"/>
    <w:rsid w:val="0022294A"/>
    <w:rsid w:val="003B546B"/>
    <w:rsid w:val="00402D07"/>
    <w:rsid w:val="004371CB"/>
    <w:rsid w:val="00440B8E"/>
    <w:rsid w:val="0063405E"/>
    <w:rsid w:val="006D5475"/>
    <w:rsid w:val="00700AFD"/>
    <w:rsid w:val="007B4485"/>
    <w:rsid w:val="008D4B03"/>
    <w:rsid w:val="00932E9E"/>
    <w:rsid w:val="00997F9E"/>
    <w:rsid w:val="00C51E13"/>
    <w:rsid w:val="00DB31A8"/>
    <w:rsid w:val="00E4633E"/>
    <w:rsid w:val="00EF52DB"/>
    <w:rsid w:val="00F6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86C8B0-3072-4699-8EB6-2676F15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zh-cn" w:eastAsia="zh-cn" w:bidi="zh-cn"/>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838" w:hanging="360"/>
      <w:outlineLvl w:val="0"/>
    </w:pPr>
    <w:rPr>
      <w:rFonts w:ascii="Honeywell Sans Web" w:hAnsi="Honeywell Sans Web" w:cs="Honeywell Sans We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18"/>
    </w:pPr>
    <w:rPr>
      <w:rFonts w:ascii="Honeywell Sans Web" w:hAnsi="Honeywell Sans Web" w:cs="Honeywell Sans Web"/>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997F9E"/>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772049">
      <w:marLeft w:val="0"/>
      <w:marRight w:val="0"/>
      <w:marTop w:val="0"/>
      <w:marBottom w:val="0"/>
      <w:divBdr>
        <w:top w:val="none" w:sz="0" w:space="0" w:color="auto"/>
        <w:left w:val="none" w:sz="0" w:space="0" w:color="auto"/>
        <w:bottom w:val="none" w:sz="0" w:space="0" w:color="auto"/>
        <w:right w:val="none" w:sz="0" w:space="0" w:color="auto"/>
      </w:divBdr>
    </w:div>
    <w:div w:id="20547720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grity@reside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1938</Words>
  <Characters>11053</Characters>
  <Application>Microsoft Office Word</Application>
  <DocSecurity>0</DocSecurity>
  <Lines>92</Lines>
  <Paragraphs>25</Paragraphs>
  <ScaleCrop>false</ScaleCrop>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Cathy</dc:creator>
  <cp:keywords/>
  <dc:description/>
  <cp:lastModifiedBy>Anchan, Sparsha</cp:lastModifiedBy>
  <cp:revision>2</cp:revision>
  <dcterms:created xsi:type="dcterms:W3CDTF">2018-11-20T11:15:00Z</dcterms:created>
  <dcterms:modified xsi:type="dcterms:W3CDTF">2018-11-20T11:15:00Z</dcterms:modified>
</cp:coreProperties>
</file>